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02703" w14:textId="3A5DB46C" w:rsidR="00685838" w:rsidRDefault="00FB4613" w:rsidP="00A05E03">
      <w:pPr>
        <w:jc w:val="center"/>
        <w:rPr>
          <w:rFonts w:ascii="Arial" w:hAnsi="Arial" w:cs="Arial"/>
          <w:bCs/>
          <w:iCs/>
          <w:lang w:val="en-GB"/>
        </w:rPr>
      </w:pPr>
      <w:r>
        <w:rPr>
          <w:rFonts w:ascii="Arial" w:hAnsi="Arial" w:cs="Arial"/>
          <w:b/>
          <w:bCs/>
          <w:sz w:val="28"/>
          <w:szCs w:val="28"/>
          <w:lang w:val="en-GB"/>
        </w:rPr>
        <w:t>Knowledge Translation in Canad</w:t>
      </w:r>
      <w:r w:rsidRPr="00FB4613">
        <w:rPr>
          <w:rFonts w:ascii="Arial" w:hAnsi="Arial" w:cs="Arial"/>
          <w:b/>
          <w:bCs/>
          <w:sz w:val="28"/>
          <w:szCs w:val="28"/>
          <w:lang w:val="en-GB"/>
        </w:rPr>
        <w:t>a</w:t>
      </w:r>
      <w:r w:rsidRPr="00FB4613">
        <w:rPr>
          <w:rFonts w:ascii="Arial" w:hAnsi="Arial" w:cs="Arial"/>
          <w:b/>
          <w:bCs/>
          <w:iCs/>
          <w:sz w:val="28"/>
          <w:szCs w:val="28"/>
          <w:lang w:val="en-GB"/>
        </w:rPr>
        <w:t>: Today and tomorrow</w:t>
      </w:r>
    </w:p>
    <w:p w14:paraId="23A3439E" w14:textId="558E3257" w:rsidR="00CC703F" w:rsidRDefault="00A05E03" w:rsidP="00685838">
      <w:pPr>
        <w:jc w:val="center"/>
      </w:pPr>
      <w:r>
        <w:rPr>
          <w:rFonts w:ascii="Arial" w:hAnsi="Arial" w:cs="Arial"/>
          <w:bCs/>
          <w:iCs/>
          <w:lang w:val="en-GB"/>
        </w:rPr>
        <w:t>Presenter</w:t>
      </w:r>
      <w:r w:rsidR="00685838">
        <w:rPr>
          <w:rFonts w:ascii="Arial" w:hAnsi="Arial" w:cs="Arial"/>
          <w:bCs/>
          <w:iCs/>
          <w:lang w:val="en-GB"/>
        </w:rPr>
        <w:t xml:space="preserve">: </w:t>
      </w:r>
      <w:r w:rsidR="00813582">
        <w:rPr>
          <w:rFonts w:ascii="Arial" w:hAnsi="Arial" w:cs="Arial"/>
          <w:bCs/>
          <w:iCs/>
          <w:lang w:val="en-GB"/>
        </w:rPr>
        <w:t>Sharon E. Straus MD MSc FRCPC, Tier 1 Canada Research Chair</w:t>
      </w:r>
    </w:p>
    <w:p w14:paraId="3B98932F" w14:textId="77777777" w:rsidR="002467F6" w:rsidRDefault="002467F6" w:rsidP="00C70E6A">
      <w:pPr>
        <w:rPr>
          <w:rFonts w:ascii="Arial" w:hAnsi="Arial" w:cs="Arial"/>
          <w:b/>
        </w:rPr>
      </w:pPr>
    </w:p>
    <w:p w14:paraId="3BC3A267" w14:textId="77777777" w:rsidR="00E54A7C" w:rsidRDefault="00E54A7C" w:rsidP="00C70E6A">
      <w:pPr>
        <w:rPr>
          <w:rFonts w:ascii="Arial" w:hAnsi="Arial" w:cs="Arial"/>
          <w:b/>
        </w:rPr>
      </w:pPr>
    </w:p>
    <w:p w14:paraId="0BF96678" w14:textId="199B33A7" w:rsidR="00517173" w:rsidRDefault="00517173" w:rsidP="00C70E6A">
      <w:pPr>
        <w:rPr>
          <w:rFonts w:ascii="Arial" w:hAnsi="Arial" w:cs="Arial"/>
          <w:b/>
        </w:rPr>
      </w:pPr>
      <w:r>
        <w:rPr>
          <w:rFonts w:ascii="Arial" w:hAnsi="Arial" w:cs="Arial"/>
          <w:b/>
        </w:rPr>
        <w:t xml:space="preserve">Slide </w:t>
      </w:r>
      <w:r w:rsidR="001F746D">
        <w:rPr>
          <w:rFonts w:ascii="Arial" w:hAnsi="Arial" w:cs="Arial"/>
          <w:b/>
        </w:rPr>
        <w:t xml:space="preserve">1: </w:t>
      </w:r>
      <w:r w:rsidR="00C70E6A">
        <w:rPr>
          <w:rFonts w:ascii="Arial" w:hAnsi="Arial" w:cs="Arial"/>
          <w:b/>
        </w:rPr>
        <w:t xml:space="preserve">Cover slide </w:t>
      </w:r>
    </w:p>
    <w:p w14:paraId="66D56AC9" w14:textId="7ACB52A8" w:rsidR="00C70E6A" w:rsidRPr="00517173" w:rsidRDefault="006A071D" w:rsidP="00C70E6A">
      <w:pPr>
        <w:rPr>
          <w:rFonts w:ascii="Arial" w:hAnsi="Arial" w:cs="Arial"/>
          <w:bCs/>
        </w:rPr>
      </w:pPr>
      <w:r>
        <w:rPr>
          <w:rFonts w:ascii="Arial" w:hAnsi="Arial" w:cs="Arial"/>
          <w:bCs/>
        </w:rPr>
        <w:t>Knowledge Translation in Canada: Today and tomorrow.</w:t>
      </w:r>
    </w:p>
    <w:p w14:paraId="0F4672E7" w14:textId="072DFA0D" w:rsidR="00C70E6A" w:rsidRPr="00C70E6A" w:rsidRDefault="00C70E6A" w:rsidP="00C70E6A">
      <w:pPr>
        <w:rPr>
          <w:rFonts w:ascii="Arial" w:hAnsi="Arial" w:cs="Arial"/>
          <w:bCs/>
        </w:rPr>
      </w:pPr>
      <w:r w:rsidRPr="00C70E6A">
        <w:rPr>
          <w:rFonts w:ascii="Arial" w:hAnsi="Arial" w:cs="Arial"/>
          <w:bCs/>
        </w:rPr>
        <w:t>Hosted by AIR’s Center on Knowledge Translation for Disability and Rehabilitation Research (KTDRR)</w:t>
      </w:r>
      <w:r w:rsidR="00517173">
        <w:rPr>
          <w:rFonts w:ascii="Arial" w:hAnsi="Arial" w:cs="Arial"/>
          <w:bCs/>
        </w:rPr>
        <w:t>.</w:t>
      </w:r>
    </w:p>
    <w:p w14:paraId="4C8EAFC1" w14:textId="77777777" w:rsidR="00517173" w:rsidRDefault="00517173" w:rsidP="00517173">
      <w:pPr>
        <w:rPr>
          <w:rFonts w:ascii="Arial" w:hAnsi="Arial" w:cs="Arial"/>
          <w:bCs/>
          <w:iCs/>
        </w:rPr>
      </w:pPr>
      <w:r w:rsidRPr="00517173">
        <w:rPr>
          <w:rFonts w:ascii="Arial" w:hAnsi="Arial" w:cs="Arial"/>
          <w:bCs/>
          <w:iCs/>
        </w:rPr>
        <w:t>Copyright © 2018 American Institutes for Research (AIR). All rights reserved.</w:t>
      </w:r>
      <w:r w:rsidRPr="00517173">
        <w:rPr>
          <w:rFonts w:ascii="Arial" w:hAnsi="Arial" w:cs="Arial"/>
          <w:bCs/>
        </w:rPr>
        <w:t xml:space="preserve"> </w:t>
      </w:r>
      <w:r w:rsidRPr="00517173">
        <w:rPr>
          <w:rFonts w:ascii="Arial" w:hAnsi="Arial" w:cs="Arial"/>
          <w:bCs/>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7" w:history="1">
        <w:r w:rsidRPr="00517173">
          <w:rPr>
            <w:rStyle w:val="Hyperlink"/>
            <w:rFonts w:ascii="Arial" w:hAnsi="Arial" w:cs="Arial"/>
            <w:bCs/>
            <w:iCs/>
          </w:rPr>
          <w:t>copyright_PS@air.org</w:t>
        </w:r>
      </w:hyperlink>
      <w:r w:rsidRPr="00517173">
        <w:rPr>
          <w:rFonts w:ascii="Arial" w:hAnsi="Arial" w:cs="Arial"/>
          <w:bCs/>
          <w:iCs/>
        </w:rPr>
        <w:t>. Users may need to secure additional permissions from copyright holders whose work AIR included after obtaining permission as noted to reproduce or adapt materials for this presentation.</w:t>
      </w:r>
    </w:p>
    <w:p w14:paraId="7BD8A5F0" w14:textId="071F5035" w:rsidR="001F746D" w:rsidRPr="00916211" w:rsidRDefault="001F746D" w:rsidP="001F746D">
      <w:pPr>
        <w:rPr>
          <w:rFonts w:ascii="Arial" w:hAnsi="Arial" w:cs="Arial"/>
          <w:color w:val="FF0000"/>
        </w:rPr>
      </w:pPr>
      <w:r>
        <w:rPr>
          <w:rFonts w:ascii="Arial" w:hAnsi="Arial" w:cs="Arial"/>
          <w:b/>
        </w:rPr>
        <w:t xml:space="preserve">Cover slide template: </w:t>
      </w:r>
      <w:r w:rsidRPr="001F746D">
        <w:rPr>
          <w:rFonts w:ascii="Arial" w:hAnsi="Arial" w:cs="Arial"/>
        </w:rPr>
        <w:t>dark blue background with white text and gray text. Gray bar at bottom with AIR logo on the left (gray and blue column on left; letters in blue, AIR (R) on the right; words below in blue, American Institutes for Research (R)</w:t>
      </w:r>
      <w:r w:rsidR="009B3AFD">
        <w:rPr>
          <w:rFonts w:ascii="Arial" w:hAnsi="Arial" w:cs="Arial"/>
        </w:rPr>
        <w:t>)</w:t>
      </w:r>
      <w:r w:rsidRPr="001F746D">
        <w:rPr>
          <w:rFonts w:ascii="Arial" w:hAnsi="Arial" w:cs="Arial"/>
        </w:rPr>
        <w:t>.</w:t>
      </w:r>
      <w:r w:rsidR="00BD020D">
        <w:rPr>
          <w:rFonts w:ascii="Arial" w:hAnsi="Arial" w:cs="Arial"/>
        </w:rPr>
        <w:t xml:space="preserve"> To the left of AIR logo, </w:t>
      </w:r>
      <w:r w:rsidR="005952D6">
        <w:rPr>
          <w:rFonts w:ascii="Arial" w:hAnsi="Arial" w:cs="Arial"/>
        </w:rPr>
        <w:t>University of Toronto Medicine logo</w:t>
      </w:r>
      <w:r w:rsidR="00BD020D">
        <w:rPr>
          <w:rFonts w:ascii="Arial" w:hAnsi="Arial" w:cs="Arial"/>
        </w:rPr>
        <w:t xml:space="preserve">: </w:t>
      </w:r>
      <w:r w:rsidR="005952D6">
        <w:rPr>
          <w:rFonts w:ascii="Arial" w:hAnsi="Arial" w:cs="Arial"/>
        </w:rPr>
        <w:t>The word – Medicine over the words University of Toronto</w:t>
      </w:r>
      <w:r w:rsidR="006B1E3C">
        <w:rPr>
          <w:rFonts w:ascii="Arial" w:hAnsi="Arial" w:cs="Arial"/>
        </w:rPr>
        <w:t>.</w:t>
      </w:r>
    </w:p>
    <w:p w14:paraId="60E21163" w14:textId="77777777" w:rsidR="00292430" w:rsidRDefault="00292430" w:rsidP="00600637">
      <w:pPr>
        <w:rPr>
          <w:rFonts w:ascii="Arial" w:hAnsi="Arial" w:cs="Arial"/>
          <w:b/>
        </w:rPr>
      </w:pPr>
    </w:p>
    <w:p w14:paraId="3BCEA7B5" w14:textId="4162D2BC" w:rsidR="00864D57" w:rsidRDefault="00517173" w:rsidP="00600637">
      <w:pPr>
        <w:rPr>
          <w:rFonts w:ascii="Arial" w:hAnsi="Arial" w:cs="Arial"/>
          <w:b/>
        </w:rPr>
      </w:pPr>
      <w:r>
        <w:rPr>
          <w:rFonts w:ascii="Arial" w:hAnsi="Arial" w:cs="Arial"/>
          <w:b/>
        </w:rPr>
        <w:t xml:space="preserve">Slide 2: </w:t>
      </w:r>
      <w:r w:rsidR="00864D57">
        <w:rPr>
          <w:rFonts w:ascii="Arial" w:hAnsi="Arial" w:cs="Arial"/>
          <w:b/>
        </w:rPr>
        <w:t>Title slide</w:t>
      </w:r>
    </w:p>
    <w:p w14:paraId="5DCADBEF" w14:textId="5695E18B" w:rsidR="00517173" w:rsidRDefault="006A071D" w:rsidP="00517173">
      <w:pPr>
        <w:rPr>
          <w:rFonts w:ascii="Arial" w:hAnsi="Arial" w:cs="Arial"/>
          <w:b/>
          <w:bCs/>
          <w:iCs/>
          <w:lang w:val="en-GB"/>
        </w:rPr>
      </w:pPr>
      <w:r>
        <w:rPr>
          <w:rFonts w:ascii="Arial" w:hAnsi="Arial" w:cs="Arial"/>
          <w:b/>
          <w:bCs/>
          <w:lang w:val="en-GB"/>
        </w:rPr>
        <w:t>Competing Interests</w:t>
      </w:r>
      <w:r w:rsidR="00517173" w:rsidRPr="00E13B25">
        <w:rPr>
          <w:rFonts w:ascii="Arial" w:hAnsi="Arial" w:cs="Arial"/>
          <w:b/>
          <w:bCs/>
          <w:iCs/>
          <w:lang w:val="en-GB"/>
        </w:rPr>
        <w:t xml:space="preserve"> </w:t>
      </w:r>
    </w:p>
    <w:p w14:paraId="0BAAC9C8" w14:textId="77777777" w:rsidR="006A071D" w:rsidRPr="006A071D" w:rsidRDefault="006A071D" w:rsidP="006A071D">
      <w:pPr>
        <w:rPr>
          <w:rFonts w:ascii="Arial" w:hAnsi="Arial" w:cs="Arial"/>
          <w:bCs/>
          <w:iCs/>
        </w:rPr>
      </w:pPr>
      <w:r w:rsidRPr="006A071D">
        <w:rPr>
          <w:rFonts w:ascii="Arial" w:hAnsi="Arial" w:cs="Arial"/>
          <w:bCs/>
          <w:iCs/>
        </w:rPr>
        <w:t>•No Pharma funding</w:t>
      </w:r>
    </w:p>
    <w:p w14:paraId="320BA3F2" w14:textId="77777777" w:rsidR="006A071D" w:rsidRPr="006A071D" w:rsidRDefault="006A071D" w:rsidP="006A071D">
      <w:pPr>
        <w:rPr>
          <w:rFonts w:ascii="Arial" w:hAnsi="Arial" w:cs="Arial"/>
          <w:bCs/>
          <w:iCs/>
        </w:rPr>
      </w:pPr>
      <w:r w:rsidRPr="006A071D">
        <w:rPr>
          <w:rFonts w:ascii="Arial" w:hAnsi="Arial" w:cs="Arial"/>
          <w:bCs/>
          <w:iCs/>
        </w:rPr>
        <w:t>•Associate editor for CMAJ, ACP Journal Club, Implementation Science; Editorial Board for JCE</w:t>
      </w:r>
    </w:p>
    <w:p w14:paraId="039D4DCA" w14:textId="77777777" w:rsidR="006A071D" w:rsidRPr="006A071D" w:rsidRDefault="006A071D" w:rsidP="006A071D">
      <w:pPr>
        <w:rPr>
          <w:rFonts w:ascii="Arial" w:hAnsi="Arial" w:cs="Arial"/>
          <w:bCs/>
          <w:iCs/>
        </w:rPr>
      </w:pPr>
      <w:r w:rsidRPr="006A071D">
        <w:rPr>
          <w:rFonts w:ascii="Arial" w:hAnsi="Arial" w:cs="Arial"/>
          <w:bCs/>
          <w:iCs/>
        </w:rPr>
        <w:t>•Wrote a book on KT, royalties go to a trainee fund</w:t>
      </w:r>
    </w:p>
    <w:p w14:paraId="273354E3" w14:textId="0FFF5725" w:rsidR="007C7682" w:rsidRPr="007C7682" w:rsidRDefault="00C40178" w:rsidP="007C7682">
      <w:pPr>
        <w:rPr>
          <w:rFonts w:ascii="Times New Roman" w:eastAsia="Times New Roman" w:hAnsi="Times New Roman" w:cs="Times New Roman"/>
        </w:rPr>
      </w:pPr>
      <w:r w:rsidRPr="00C40178">
        <w:rPr>
          <w:rFonts w:ascii="Arial" w:hAnsi="Arial" w:cs="Arial"/>
          <w:b/>
          <w:bCs/>
          <w:iCs/>
          <w:lang w:val="en-GB"/>
        </w:rPr>
        <w:t>Title s</w:t>
      </w:r>
      <w:r w:rsidR="00517173" w:rsidRPr="00C40178">
        <w:rPr>
          <w:rFonts w:ascii="Arial" w:hAnsi="Arial" w:cs="Arial"/>
          <w:b/>
          <w:bCs/>
          <w:iCs/>
          <w:lang w:val="en-GB"/>
        </w:rPr>
        <w:t>lide template:</w:t>
      </w:r>
      <w:r w:rsidR="00517173" w:rsidRPr="00943686">
        <w:rPr>
          <w:rFonts w:ascii="Arial" w:hAnsi="Arial" w:cs="Arial"/>
          <w:bCs/>
          <w:iCs/>
          <w:lang w:val="en-GB"/>
        </w:rPr>
        <w:t xml:space="preserve"> </w:t>
      </w:r>
      <w:r w:rsidR="006A071D">
        <w:rPr>
          <w:rFonts w:ascii="Arial" w:eastAsia="Times New Roman" w:hAnsi="Arial" w:cs="Arial"/>
          <w:color w:val="000000"/>
          <w:lang w:val="en-GB"/>
        </w:rPr>
        <w:t>White background with the University of Toronto Medicine logo at the bottom left corner.</w:t>
      </w:r>
      <w:r w:rsidR="007C7682" w:rsidRPr="007C7682">
        <w:rPr>
          <w:rFonts w:ascii="Arial" w:eastAsia="Times New Roman" w:hAnsi="Arial" w:cs="Arial"/>
          <w:color w:val="000000"/>
          <w:lang w:val="en-GB"/>
        </w:rPr>
        <w:t xml:space="preserve"> </w:t>
      </w:r>
    </w:p>
    <w:p w14:paraId="2CC1626C" w14:textId="77777777" w:rsidR="00A0371F" w:rsidRDefault="00A0371F" w:rsidP="00600637">
      <w:pPr>
        <w:rPr>
          <w:rFonts w:ascii="Arial" w:hAnsi="Arial" w:cs="Arial"/>
          <w:b/>
        </w:rPr>
      </w:pPr>
    </w:p>
    <w:p w14:paraId="360BF195" w14:textId="5B419495" w:rsidR="002A3304" w:rsidRDefault="00864D57" w:rsidP="00560D41">
      <w:pPr>
        <w:rPr>
          <w:rFonts w:ascii="Arial" w:hAnsi="Arial" w:cs="Arial"/>
          <w:b/>
        </w:rPr>
      </w:pPr>
      <w:r w:rsidRPr="00A47478">
        <w:rPr>
          <w:rFonts w:ascii="Arial" w:hAnsi="Arial" w:cs="Arial"/>
          <w:b/>
        </w:rPr>
        <w:t>Slide 3:</w:t>
      </w:r>
      <w:r w:rsidR="00C40178" w:rsidRPr="00A47478">
        <w:rPr>
          <w:rFonts w:ascii="Arial" w:hAnsi="Arial" w:cs="Arial"/>
          <w:b/>
        </w:rPr>
        <w:t xml:space="preserve"> </w:t>
      </w:r>
      <w:r w:rsidR="00673DC8">
        <w:rPr>
          <w:rFonts w:ascii="Arial" w:hAnsi="Arial" w:cs="Arial"/>
          <w:b/>
        </w:rPr>
        <w:t>What is the challenge?</w:t>
      </w:r>
    </w:p>
    <w:p w14:paraId="3758A1B1" w14:textId="33075C43" w:rsidR="00673DC8" w:rsidRPr="00673DC8" w:rsidRDefault="00A8134F" w:rsidP="00673DC8">
      <w:pPr>
        <w:rPr>
          <w:rFonts w:ascii="Arial" w:hAnsi="Arial" w:cs="Arial"/>
        </w:rPr>
      </w:pPr>
      <w:r>
        <w:rPr>
          <w:rFonts w:ascii="Arial" w:hAnsi="Arial" w:cs="Arial"/>
        </w:rPr>
        <w:t>•</w:t>
      </w:r>
      <w:r w:rsidR="00673DC8" w:rsidRPr="00673DC8">
        <w:rPr>
          <w:rFonts w:ascii="Arial" w:hAnsi="Arial" w:cs="Arial"/>
        </w:rPr>
        <w:t>Research Waste</w:t>
      </w:r>
    </w:p>
    <w:p w14:paraId="5E3FD785" w14:textId="6AC624C4" w:rsidR="00673DC8" w:rsidRPr="00673DC8" w:rsidRDefault="00673DC8" w:rsidP="00673DC8">
      <w:pPr>
        <w:pStyle w:val="ListParagraph"/>
        <w:numPr>
          <w:ilvl w:val="0"/>
          <w:numId w:val="23"/>
        </w:numPr>
        <w:rPr>
          <w:rFonts w:ascii="Arial" w:hAnsi="Arial" w:cs="Arial"/>
        </w:rPr>
      </w:pPr>
      <w:r w:rsidRPr="00673DC8">
        <w:rPr>
          <w:rFonts w:ascii="Arial" w:hAnsi="Arial" w:cs="Arial"/>
        </w:rPr>
        <w:t>The ‘know-do’ gap</w:t>
      </w:r>
    </w:p>
    <w:p w14:paraId="523BF7D6" w14:textId="65AB17BA" w:rsidR="00673DC8" w:rsidRPr="00673DC8" w:rsidRDefault="00673DC8" w:rsidP="00673DC8">
      <w:pPr>
        <w:pStyle w:val="ListParagraph"/>
        <w:numPr>
          <w:ilvl w:val="0"/>
          <w:numId w:val="23"/>
        </w:numPr>
        <w:rPr>
          <w:rFonts w:ascii="Arial" w:hAnsi="Arial" w:cs="Arial"/>
        </w:rPr>
      </w:pPr>
      <w:r w:rsidRPr="00673DC8">
        <w:rPr>
          <w:rFonts w:ascii="Arial" w:hAnsi="Arial" w:cs="Arial"/>
        </w:rPr>
        <w:t>85% of research funding is wasted</w:t>
      </w:r>
    </w:p>
    <w:p w14:paraId="619FA382" w14:textId="2AF143CF" w:rsidR="00673DC8" w:rsidRPr="00673DC8" w:rsidRDefault="00673DC8" w:rsidP="00673DC8">
      <w:pPr>
        <w:pStyle w:val="ListParagraph"/>
        <w:numPr>
          <w:ilvl w:val="0"/>
          <w:numId w:val="26"/>
        </w:numPr>
        <w:rPr>
          <w:rFonts w:ascii="Arial" w:hAnsi="Arial" w:cs="Arial"/>
        </w:rPr>
      </w:pPr>
      <w:r w:rsidRPr="00673DC8">
        <w:rPr>
          <w:rFonts w:ascii="Arial" w:hAnsi="Arial" w:cs="Arial"/>
        </w:rPr>
        <w:t>$250B/year</w:t>
      </w:r>
    </w:p>
    <w:p w14:paraId="1FA06B1D" w14:textId="77777777" w:rsidR="00F12AED" w:rsidRPr="00292430" w:rsidRDefault="00F12AED" w:rsidP="00600637">
      <w:pPr>
        <w:rPr>
          <w:rFonts w:ascii="Arial" w:hAnsi="Arial" w:cs="Arial"/>
          <w:b/>
          <w:highlight w:val="yellow"/>
        </w:rPr>
      </w:pPr>
    </w:p>
    <w:p w14:paraId="1ED0D461" w14:textId="61D1E390" w:rsidR="00EB7B71" w:rsidRPr="00EB7B71" w:rsidRDefault="00864D57" w:rsidP="00560D41">
      <w:pPr>
        <w:rPr>
          <w:rFonts w:ascii="Times" w:hAnsi="Times" w:cs="Times"/>
          <w:color w:val="000000"/>
        </w:rPr>
      </w:pPr>
      <w:r w:rsidRPr="00A47478">
        <w:rPr>
          <w:rFonts w:ascii="Arial" w:hAnsi="Arial" w:cs="Arial"/>
          <w:b/>
        </w:rPr>
        <w:t>Slide 4:</w:t>
      </w:r>
      <w:r w:rsidR="00170A85" w:rsidRPr="00A47478">
        <w:rPr>
          <w:rFonts w:ascii="Arial" w:hAnsi="Arial" w:cs="Arial"/>
          <w:b/>
        </w:rPr>
        <w:t xml:space="preserve"> </w:t>
      </w:r>
      <w:r w:rsidR="004133DB">
        <w:rPr>
          <w:rFonts w:ascii="Arial" w:hAnsi="Arial" w:cs="Arial"/>
          <w:b/>
        </w:rPr>
        <w:t>Knowledge translation: A potential solution</w:t>
      </w:r>
    </w:p>
    <w:p w14:paraId="5E2FD194" w14:textId="0C32F885" w:rsidR="004133DB" w:rsidRPr="004133DB" w:rsidRDefault="004133DB" w:rsidP="00702855">
      <w:pPr>
        <w:ind w:left="180" w:hanging="180"/>
        <w:rPr>
          <w:rFonts w:ascii="Arial" w:hAnsi="Arial" w:cs="Arial"/>
        </w:rPr>
      </w:pPr>
      <w:r w:rsidRPr="004133DB">
        <w:rPr>
          <w:rFonts w:ascii="Arial" w:hAnsi="Arial" w:cs="Arial"/>
        </w:rPr>
        <w:t xml:space="preserve">•It is a dynamic and iterative process that includes synthesis, dissemination, and implementation of knowledge </w:t>
      </w:r>
    </w:p>
    <w:p w14:paraId="6B880D1B" w14:textId="23EB6779" w:rsidR="004133DB" w:rsidRPr="004133DB" w:rsidRDefault="004133DB" w:rsidP="00702855">
      <w:pPr>
        <w:ind w:left="180" w:hanging="180"/>
        <w:rPr>
          <w:rFonts w:ascii="Arial" w:hAnsi="Arial" w:cs="Arial"/>
        </w:rPr>
      </w:pPr>
      <w:r w:rsidRPr="004133DB">
        <w:rPr>
          <w:rFonts w:ascii="Arial" w:hAnsi="Arial" w:cs="Arial"/>
        </w:rPr>
        <w:t xml:space="preserve">•It is about putting knowledge into action, at all levels of decision making, to improve health </w:t>
      </w:r>
    </w:p>
    <w:p w14:paraId="5D6BA5B0" w14:textId="6A84F79F" w:rsidR="004133DB" w:rsidRPr="004133DB" w:rsidRDefault="004133DB" w:rsidP="004133DB">
      <w:pPr>
        <w:ind w:firstLine="720"/>
        <w:rPr>
          <w:rFonts w:ascii="Arial" w:hAnsi="Arial" w:cs="Arial"/>
        </w:rPr>
      </w:pPr>
      <w:r w:rsidRPr="004133DB">
        <w:rPr>
          <w:rFonts w:ascii="Arial" w:hAnsi="Arial" w:cs="Arial"/>
        </w:rPr>
        <w:t>•</w:t>
      </w:r>
      <w:r>
        <w:rPr>
          <w:rFonts w:ascii="Arial" w:hAnsi="Arial" w:cs="Arial"/>
        </w:rPr>
        <w:t xml:space="preserve"> </w:t>
      </w:r>
      <w:r w:rsidRPr="004133DB">
        <w:rPr>
          <w:rFonts w:ascii="Arial" w:hAnsi="Arial" w:cs="Arial"/>
        </w:rPr>
        <w:t>Citizens, Patients, clinicians, managers, policy makers, researchers, funders</w:t>
      </w:r>
    </w:p>
    <w:p w14:paraId="125DE435" w14:textId="77777777" w:rsidR="0056350E" w:rsidRPr="004133DB" w:rsidRDefault="0056350E" w:rsidP="00600637">
      <w:pPr>
        <w:rPr>
          <w:rFonts w:ascii="Arial" w:hAnsi="Arial" w:cs="Arial"/>
        </w:rPr>
      </w:pPr>
    </w:p>
    <w:p w14:paraId="4C13FE67" w14:textId="77777777" w:rsidR="004133DB" w:rsidRPr="004133DB" w:rsidRDefault="004133DB" w:rsidP="00600637">
      <w:pPr>
        <w:rPr>
          <w:rFonts w:ascii="Arial" w:hAnsi="Arial" w:cs="Arial"/>
        </w:rPr>
      </w:pPr>
    </w:p>
    <w:p w14:paraId="36138F42" w14:textId="77777777" w:rsidR="004133DB" w:rsidRPr="00942280" w:rsidRDefault="004133DB" w:rsidP="00600637">
      <w:pPr>
        <w:rPr>
          <w:rFonts w:ascii="Arial" w:hAnsi="Arial" w:cs="Arial"/>
          <w:b/>
        </w:rPr>
      </w:pPr>
    </w:p>
    <w:p w14:paraId="79C7F069" w14:textId="70B47B50" w:rsidR="001166EC" w:rsidRDefault="00864D57" w:rsidP="00560D41">
      <w:pPr>
        <w:rPr>
          <w:rFonts w:ascii="Arial" w:hAnsi="Arial" w:cs="Arial"/>
          <w:b/>
        </w:rPr>
      </w:pPr>
      <w:r w:rsidRPr="00942280">
        <w:rPr>
          <w:rFonts w:ascii="Arial" w:hAnsi="Arial" w:cs="Arial"/>
          <w:b/>
        </w:rPr>
        <w:lastRenderedPageBreak/>
        <w:t>Slide 5:</w:t>
      </w:r>
      <w:r w:rsidR="00170A85" w:rsidRPr="00942280">
        <w:rPr>
          <w:rFonts w:ascii="Arial" w:hAnsi="Arial" w:cs="Arial"/>
          <w:b/>
        </w:rPr>
        <w:t xml:space="preserve"> </w:t>
      </w:r>
      <w:r w:rsidR="009B093D">
        <w:rPr>
          <w:rFonts w:ascii="Arial" w:hAnsi="Arial" w:cs="Arial"/>
          <w:b/>
        </w:rPr>
        <w:t>Different Terms for KT</w:t>
      </w:r>
    </w:p>
    <w:p w14:paraId="1D3761ED" w14:textId="06A9AC04" w:rsidR="009B093D" w:rsidRPr="009C4BF3" w:rsidRDefault="00A11028" w:rsidP="00560D41">
      <w:pPr>
        <w:rPr>
          <w:rFonts w:ascii="Arial" w:hAnsi="Arial" w:cs="Arial"/>
        </w:rPr>
      </w:pPr>
      <w:r>
        <w:rPr>
          <w:rFonts w:ascii="Arial" w:hAnsi="Arial" w:cs="Arial"/>
        </w:rPr>
        <w:t>Evidence-</w:t>
      </w:r>
      <w:r w:rsidR="009B093D" w:rsidRPr="009C4BF3">
        <w:rPr>
          <w:rFonts w:ascii="Arial" w:hAnsi="Arial" w:cs="Arial"/>
        </w:rPr>
        <w:t>based programs</w:t>
      </w:r>
    </w:p>
    <w:p w14:paraId="00B9E58C" w14:textId="5563ED49" w:rsidR="009B093D" w:rsidRPr="009C4BF3" w:rsidRDefault="009B093D" w:rsidP="00560D41">
      <w:pPr>
        <w:rPr>
          <w:rFonts w:ascii="Arial" w:hAnsi="Arial" w:cs="Arial"/>
        </w:rPr>
      </w:pPr>
      <w:r w:rsidRPr="009C4BF3">
        <w:rPr>
          <w:rFonts w:ascii="Arial" w:hAnsi="Arial" w:cs="Arial"/>
        </w:rPr>
        <w:t>Evidence</w:t>
      </w:r>
      <w:r w:rsidR="00970A20">
        <w:rPr>
          <w:rFonts w:ascii="Arial" w:hAnsi="Arial" w:cs="Arial"/>
        </w:rPr>
        <w:t>-</w:t>
      </w:r>
      <w:r w:rsidRPr="009C4BF3">
        <w:rPr>
          <w:rFonts w:ascii="Arial" w:hAnsi="Arial" w:cs="Arial"/>
        </w:rPr>
        <w:t xml:space="preserve">based guidelines </w:t>
      </w:r>
    </w:p>
    <w:p w14:paraId="56EBB16F" w14:textId="76A7E6AD" w:rsidR="009B093D" w:rsidRPr="009C4BF3" w:rsidRDefault="009B093D" w:rsidP="00560D41">
      <w:pPr>
        <w:rPr>
          <w:rFonts w:ascii="Arial" w:hAnsi="Arial" w:cs="Arial"/>
        </w:rPr>
      </w:pPr>
      <w:r w:rsidRPr="009C4BF3">
        <w:rPr>
          <w:rFonts w:ascii="Arial" w:hAnsi="Arial" w:cs="Arial"/>
        </w:rPr>
        <w:t>Evidence-based practices</w:t>
      </w:r>
    </w:p>
    <w:p w14:paraId="22496B3E" w14:textId="2EC3283C" w:rsidR="009B093D" w:rsidRPr="009C4BF3" w:rsidRDefault="009B093D" w:rsidP="00560D41">
      <w:pPr>
        <w:rPr>
          <w:rFonts w:ascii="Arial" w:hAnsi="Arial" w:cs="Arial"/>
        </w:rPr>
      </w:pPr>
      <w:r w:rsidRPr="009C4BF3">
        <w:rPr>
          <w:rFonts w:ascii="Arial" w:hAnsi="Arial" w:cs="Arial"/>
        </w:rPr>
        <w:t>Spread Knowledge Transfer</w:t>
      </w:r>
    </w:p>
    <w:p w14:paraId="75A3FA38" w14:textId="076AE20F" w:rsidR="009B093D" w:rsidRPr="009C4BF3" w:rsidRDefault="009B093D" w:rsidP="00560D41">
      <w:pPr>
        <w:rPr>
          <w:rFonts w:ascii="Arial" w:hAnsi="Arial" w:cs="Arial"/>
        </w:rPr>
      </w:pPr>
      <w:r w:rsidRPr="009C4BF3">
        <w:rPr>
          <w:rFonts w:ascii="Arial" w:hAnsi="Arial" w:cs="Arial"/>
        </w:rPr>
        <w:t>Research Ut</w:t>
      </w:r>
      <w:r w:rsidR="009C4BF3">
        <w:rPr>
          <w:rFonts w:ascii="Arial" w:hAnsi="Arial" w:cs="Arial"/>
        </w:rPr>
        <w:t>i</w:t>
      </w:r>
      <w:r w:rsidRPr="009C4BF3">
        <w:rPr>
          <w:rFonts w:ascii="Arial" w:hAnsi="Arial" w:cs="Arial"/>
        </w:rPr>
        <w:t>lization</w:t>
      </w:r>
    </w:p>
    <w:p w14:paraId="0FEB633C" w14:textId="1E257B85" w:rsidR="009B093D" w:rsidRPr="009C4BF3" w:rsidRDefault="009B093D" w:rsidP="00560D41">
      <w:pPr>
        <w:rPr>
          <w:rFonts w:ascii="Arial" w:hAnsi="Arial" w:cs="Arial"/>
        </w:rPr>
      </w:pPr>
      <w:r w:rsidRPr="009C4BF3">
        <w:rPr>
          <w:rFonts w:ascii="Arial" w:hAnsi="Arial" w:cs="Arial"/>
        </w:rPr>
        <w:t>Research Use</w:t>
      </w:r>
    </w:p>
    <w:p w14:paraId="520ED59B" w14:textId="6B75BE6A" w:rsidR="009B093D" w:rsidRPr="009C4BF3" w:rsidRDefault="009B093D" w:rsidP="00560D41">
      <w:pPr>
        <w:rPr>
          <w:rFonts w:ascii="Arial" w:hAnsi="Arial" w:cs="Arial"/>
        </w:rPr>
      </w:pPr>
      <w:r w:rsidRPr="009C4BF3">
        <w:rPr>
          <w:rFonts w:ascii="Arial" w:hAnsi="Arial" w:cs="Arial"/>
        </w:rPr>
        <w:t>Knowledge Exchange</w:t>
      </w:r>
    </w:p>
    <w:p w14:paraId="1F00597C" w14:textId="4FE10ADF" w:rsidR="009B093D" w:rsidRPr="009C4BF3" w:rsidRDefault="009C4BF3" w:rsidP="00560D41">
      <w:pPr>
        <w:rPr>
          <w:rFonts w:ascii="Arial" w:hAnsi="Arial" w:cs="Arial"/>
        </w:rPr>
      </w:pPr>
      <w:r>
        <w:rPr>
          <w:rFonts w:ascii="Arial" w:hAnsi="Arial" w:cs="Arial"/>
        </w:rPr>
        <w:t>Implemen</w:t>
      </w:r>
      <w:r w:rsidR="009B093D" w:rsidRPr="009C4BF3">
        <w:rPr>
          <w:rFonts w:ascii="Arial" w:hAnsi="Arial" w:cs="Arial"/>
        </w:rPr>
        <w:t>tation Science</w:t>
      </w:r>
    </w:p>
    <w:p w14:paraId="1F16D694" w14:textId="7D928FF9" w:rsidR="009B093D" w:rsidRPr="009C4BF3" w:rsidRDefault="009B093D" w:rsidP="00560D41">
      <w:pPr>
        <w:rPr>
          <w:rFonts w:ascii="Arial" w:hAnsi="Arial" w:cs="Arial"/>
        </w:rPr>
      </w:pPr>
      <w:r w:rsidRPr="009C4BF3">
        <w:rPr>
          <w:rFonts w:ascii="Arial" w:hAnsi="Arial" w:cs="Arial"/>
        </w:rPr>
        <w:t>Knowledge Translation</w:t>
      </w:r>
    </w:p>
    <w:p w14:paraId="17DC681B" w14:textId="7020A5A8" w:rsidR="009B093D" w:rsidRPr="009C4BF3" w:rsidRDefault="009B093D" w:rsidP="00560D41">
      <w:pPr>
        <w:rPr>
          <w:rFonts w:ascii="Arial" w:hAnsi="Arial" w:cs="Arial"/>
        </w:rPr>
      </w:pPr>
      <w:r w:rsidRPr="009C4BF3">
        <w:rPr>
          <w:rFonts w:ascii="Arial" w:hAnsi="Arial" w:cs="Arial"/>
        </w:rPr>
        <w:t>Knowledge Mobilization</w:t>
      </w:r>
    </w:p>
    <w:p w14:paraId="7AAA3E30" w14:textId="5C746AD3" w:rsidR="009B093D" w:rsidRPr="009C4BF3" w:rsidRDefault="009B093D" w:rsidP="00560D41">
      <w:pPr>
        <w:rPr>
          <w:rFonts w:ascii="Arial" w:hAnsi="Arial" w:cs="Arial"/>
        </w:rPr>
      </w:pPr>
      <w:r w:rsidRPr="009C4BF3">
        <w:rPr>
          <w:rFonts w:ascii="Arial" w:hAnsi="Arial" w:cs="Arial"/>
        </w:rPr>
        <w:t>Knowledge Uptake</w:t>
      </w:r>
    </w:p>
    <w:p w14:paraId="2F7FFF5D" w14:textId="36360920" w:rsidR="009B093D" w:rsidRPr="009C4BF3" w:rsidRDefault="009B093D" w:rsidP="00560D41">
      <w:pPr>
        <w:rPr>
          <w:rFonts w:ascii="Arial" w:hAnsi="Arial" w:cs="Arial"/>
        </w:rPr>
      </w:pPr>
      <w:r w:rsidRPr="009C4BF3">
        <w:rPr>
          <w:rFonts w:ascii="Arial" w:hAnsi="Arial" w:cs="Arial"/>
        </w:rPr>
        <w:t>Dissemination and Diffusion</w:t>
      </w:r>
    </w:p>
    <w:p w14:paraId="79330AE6" w14:textId="38040C57" w:rsidR="009B093D" w:rsidRPr="009C4BF3" w:rsidRDefault="009B093D" w:rsidP="00560D41">
      <w:pPr>
        <w:rPr>
          <w:rFonts w:ascii="Arial" w:hAnsi="Arial" w:cs="Arial"/>
        </w:rPr>
      </w:pPr>
      <w:r w:rsidRPr="009C4BF3">
        <w:rPr>
          <w:rFonts w:ascii="Arial" w:hAnsi="Arial" w:cs="Arial"/>
        </w:rPr>
        <w:t xml:space="preserve">Implementation </w:t>
      </w:r>
    </w:p>
    <w:p w14:paraId="5208D5EF" w14:textId="33EDF05E" w:rsidR="009B093D" w:rsidRPr="009C4BF3" w:rsidRDefault="009B093D" w:rsidP="00560D41">
      <w:pPr>
        <w:rPr>
          <w:rFonts w:ascii="Arial" w:hAnsi="Arial" w:cs="Arial"/>
        </w:rPr>
      </w:pPr>
      <w:r w:rsidRPr="009C4BF3">
        <w:rPr>
          <w:rFonts w:ascii="Arial" w:hAnsi="Arial" w:cs="Arial"/>
        </w:rPr>
        <w:t xml:space="preserve">Sustainability </w:t>
      </w:r>
    </w:p>
    <w:p w14:paraId="0E5A2945" w14:textId="723ACCCE" w:rsidR="009B093D" w:rsidRPr="009C4BF3" w:rsidRDefault="009B093D" w:rsidP="00560D41">
      <w:pPr>
        <w:rPr>
          <w:rFonts w:ascii="Arial" w:hAnsi="Arial" w:cs="Arial"/>
        </w:rPr>
      </w:pPr>
      <w:r w:rsidRPr="009C4BF3">
        <w:rPr>
          <w:rFonts w:ascii="Arial" w:hAnsi="Arial" w:cs="Arial"/>
        </w:rPr>
        <w:t>Scale up</w:t>
      </w:r>
    </w:p>
    <w:p w14:paraId="4A2B17BF" w14:textId="48BF0D50" w:rsidR="009B093D" w:rsidRPr="009C4BF3" w:rsidRDefault="009B093D" w:rsidP="00560D41">
      <w:pPr>
        <w:rPr>
          <w:rFonts w:ascii="Arial" w:hAnsi="Arial" w:cs="Arial"/>
        </w:rPr>
      </w:pPr>
      <w:r w:rsidRPr="009C4BF3">
        <w:rPr>
          <w:rFonts w:ascii="Arial" w:hAnsi="Arial" w:cs="Arial"/>
        </w:rPr>
        <w:t>Evidence Implementation</w:t>
      </w:r>
    </w:p>
    <w:p w14:paraId="54CFF38B" w14:textId="0012086A" w:rsidR="009B093D" w:rsidRPr="009C4BF3" w:rsidRDefault="009B093D" w:rsidP="00560D41">
      <w:pPr>
        <w:rPr>
          <w:rFonts w:ascii="Arial" w:hAnsi="Arial" w:cs="Arial"/>
        </w:rPr>
      </w:pPr>
      <w:r w:rsidRPr="009C4BF3">
        <w:rPr>
          <w:rFonts w:ascii="Arial" w:hAnsi="Arial" w:cs="Arial"/>
        </w:rPr>
        <w:t>Evidence</w:t>
      </w:r>
    </w:p>
    <w:p w14:paraId="646E8C87" w14:textId="07BD69FE" w:rsidR="009B093D" w:rsidRPr="009C4BF3" w:rsidRDefault="009B093D" w:rsidP="00560D41">
      <w:pPr>
        <w:rPr>
          <w:rFonts w:ascii="Arial" w:hAnsi="Arial" w:cs="Arial"/>
        </w:rPr>
      </w:pPr>
      <w:r w:rsidRPr="009C4BF3">
        <w:rPr>
          <w:rFonts w:ascii="Arial" w:hAnsi="Arial" w:cs="Arial"/>
        </w:rPr>
        <w:t>Research use</w:t>
      </w:r>
    </w:p>
    <w:p w14:paraId="4ED9772A" w14:textId="0897ED53" w:rsidR="009B093D" w:rsidRPr="009C4BF3" w:rsidRDefault="009B093D" w:rsidP="00560D41">
      <w:pPr>
        <w:rPr>
          <w:rFonts w:ascii="Arial" w:hAnsi="Arial" w:cs="Arial"/>
        </w:rPr>
      </w:pPr>
      <w:r w:rsidRPr="009C4BF3">
        <w:rPr>
          <w:rFonts w:ascii="Arial" w:hAnsi="Arial" w:cs="Arial"/>
        </w:rPr>
        <w:t>Dissemination Science</w:t>
      </w:r>
    </w:p>
    <w:p w14:paraId="2E718E58" w14:textId="77777777" w:rsidR="000910FC" w:rsidRDefault="000910FC" w:rsidP="00600637">
      <w:pPr>
        <w:rPr>
          <w:rFonts w:ascii="Arial" w:hAnsi="Arial" w:cs="Arial"/>
          <w:b/>
          <w:highlight w:val="yellow"/>
        </w:rPr>
      </w:pPr>
    </w:p>
    <w:p w14:paraId="406E15E3" w14:textId="5754A2BF" w:rsidR="001207E1" w:rsidRPr="001E7D11" w:rsidRDefault="00864D57" w:rsidP="00560D41">
      <w:pPr>
        <w:rPr>
          <w:rFonts w:ascii="Arial" w:hAnsi="Arial" w:cs="Arial"/>
        </w:rPr>
      </w:pPr>
      <w:r w:rsidRPr="00B421F0">
        <w:rPr>
          <w:rFonts w:ascii="Arial" w:hAnsi="Arial" w:cs="Arial"/>
          <w:b/>
        </w:rPr>
        <w:t>Slide 6:</w:t>
      </w:r>
      <w:r w:rsidR="00537482" w:rsidRPr="00B421F0">
        <w:rPr>
          <w:rFonts w:ascii="Arial" w:hAnsi="Arial" w:cs="Arial"/>
          <w:b/>
        </w:rPr>
        <w:t xml:space="preserve"> </w:t>
      </w:r>
    </w:p>
    <w:p w14:paraId="0F20E372" w14:textId="3A11A5B9" w:rsidR="000910FC" w:rsidRDefault="002134D0" w:rsidP="000910FC">
      <w:pPr>
        <w:rPr>
          <w:rFonts w:ascii="Arial" w:hAnsi="Arial" w:cs="Arial"/>
        </w:rPr>
      </w:pPr>
      <w:r>
        <w:rPr>
          <w:rFonts w:ascii="Arial" w:hAnsi="Arial" w:cs="Arial"/>
        </w:rPr>
        <w:t>Screenshot of McMaster Health knowledge Refinery Projects web-page. KT Filters.</w:t>
      </w:r>
    </w:p>
    <w:p w14:paraId="68E1D0BC" w14:textId="6ED22E39" w:rsidR="002134D0" w:rsidRDefault="002134D0" w:rsidP="000910FC">
      <w:pPr>
        <w:rPr>
          <w:rFonts w:ascii="Arial" w:hAnsi="Arial" w:cs="Arial"/>
        </w:rPr>
      </w:pPr>
      <w:r>
        <w:rPr>
          <w:rFonts w:ascii="Arial" w:hAnsi="Arial" w:cs="Arial"/>
        </w:rPr>
        <w:t>KT-Content</w:t>
      </w:r>
    </w:p>
    <w:p w14:paraId="520F737C" w14:textId="663059B7" w:rsidR="002134D0" w:rsidRDefault="002134D0" w:rsidP="000910FC">
      <w:pPr>
        <w:rPr>
          <w:rFonts w:ascii="Arial" w:hAnsi="Arial" w:cs="Arial"/>
        </w:rPr>
      </w:pPr>
      <w:r>
        <w:rPr>
          <w:rFonts w:ascii="Arial" w:hAnsi="Arial" w:cs="Arial"/>
        </w:rPr>
        <w:t xml:space="preserve">Available here: </w:t>
      </w:r>
      <w:hyperlink r:id="rId8" w:history="1">
        <w:r w:rsidRPr="00D038A7">
          <w:rPr>
            <w:rStyle w:val="Hyperlink"/>
            <w:rFonts w:ascii="Arial" w:hAnsi="Arial" w:cs="Arial"/>
          </w:rPr>
          <w:t>https://hiru.mcmaster.ca/hiru/HIRU_KT_MEDLINE_Filters.aspx</w:t>
        </w:r>
      </w:hyperlink>
    </w:p>
    <w:p w14:paraId="6DA868EE" w14:textId="77777777" w:rsidR="000354CD" w:rsidRDefault="000354CD" w:rsidP="000910FC">
      <w:pPr>
        <w:rPr>
          <w:rFonts w:ascii="Arial" w:hAnsi="Arial" w:cs="Arial"/>
          <w:b/>
          <w:highlight w:val="yellow"/>
        </w:rPr>
      </w:pPr>
    </w:p>
    <w:p w14:paraId="6A53D0BD" w14:textId="27DFCC7C" w:rsidR="00560D41" w:rsidRDefault="00864D57" w:rsidP="00560D41">
      <w:pPr>
        <w:rPr>
          <w:rFonts w:ascii="Arial" w:hAnsi="Arial" w:cs="Arial"/>
          <w:b/>
        </w:rPr>
      </w:pPr>
      <w:r w:rsidRPr="00A23A99">
        <w:rPr>
          <w:rFonts w:ascii="Arial" w:hAnsi="Arial" w:cs="Arial"/>
          <w:b/>
        </w:rPr>
        <w:t>Slide 7:</w:t>
      </w:r>
      <w:r w:rsidR="0066027C">
        <w:rPr>
          <w:rFonts w:ascii="Arial" w:hAnsi="Arial" w:cs="Arial"/>
          <w:b/>
        </w:rPr>
        <w:t xml:space="preserve"> </w:t>
      </w:r>
      <w:r w:rsidR="00AE1D22">
        <w:rPr>
          <w:rFonts w:ascii="Arial" w:hAnsi="Arial" w:cs="Arial"/>
          <w:b/>
        </w:rPr>
        <w:t>KT+ Knowledge Translation, McMaster University’s Health Information Research Unit</w:t>
      </w:r>
    </w:p>
    <w:p w14:paraId="4B256561" w14:textId="23106340" w:rsidR="00AE1D22" w:rsidRDefault="004D664D" w:rsidP="00560D41">
      <w:pPr>
        <w:rPr>
          <w:rFonts w:ascii="Arial" w:hAnsi="Arial" w:cs="Arial"/>
        </w:rPr>
      </w:pPr>
      <w:r>
        <w:rPr>
          <w:rFonts w:ascii="Arial" w:hAnsi="Arial" w:cs="Arial"/>
        </w:rPr>
        <w:t>Screenshot</w:t>
      </w:r>
      <w:r w:rsidR="002134D0">
        <w:rPr>
          <w:rFonts w:ascii="Arial" w:hAnsi="Arial" w:cs="Arial"/>
        </w:rPr>
        <w:t xml:space="preserve"> of home page “Welcome to KT+”</w:t>
      </w:r>
    </w:p>
    <w:p w14:paraId="46BC62C5" w14:textId="50D1CCCD" w:rsidR="002134D0" w:rsidRPr="00AE1D22" w:rsidRDefault="002134D0" w:rsidP="00560D41">
      <w:pPr>
        <w:rPr>
          <w:rFonts w:ascii="Arial" w:hAnsi="Arial" w:cs="Arial"/>
        </w:rPr>
      </w:pPr>
      <w:r>
        <w:rPr>
          <w:rFonts w:ascii="Arial" w:hAnsi="Arial" w:cs="Arial"/>
        </w:rPr>
        <w:t xml:space="preserve">Available here: </w:t>
      </w:r>
      <w:hyperlink r:id="rId9" w:history="1">
        <w:r w:rsidRPr="00D038A7">
          <w:rPr>
            <w:rStyle w:val="Hyperlink"/>
            <w:rFonts w:ascii="Arial" w:hAnsi="Arial" w:cs="Arial"/>
          </w:rPr>
          <w:t>http://plus.mcmaster.ca/kt/default.aspx</w:t>
        </w:r>
      </w:hyperlink>
    </w:p>
    <w:p w14:paraId="032FF9B4" w14:textId="77777777" w:rsidR="00560D41" w:rsidRPr="00A23A99" w:rsidRDefault="00560D41" w:rsidP="00560D41">
      <w:pPr>
        <w:rPr>
          <w:rFonts w:ascii="Arial" w:hAnsi="Arial" w:cs="Arial"/>
          <w:b/>
        </w:rPr>
      </w:pPr>
    </w:p>
    <w:p w14:paraId="5A1A50D8" w14:textId="062059AA" w:rsidR="006464C3" w:rsidRDefault="00864D57" w:rsidP="00560D41">
      <w:pPr>
        <w:rPr>
          <w:rFonts w:ascii="Arial" w:hAnsi="Arial" w:cs="Arial"/>
          <w:b/>
        </w:rPr>
      </w:pPr>
      <w:r w:rsidRPr="00A23A99">
        <w:rPr>
          <w:rFonts w:ascii="Arial" w:hAnsi="Arial" w:cs="Arial"/>
          <w:b/>
        </w:rPr>
        <w:t>Slide 8:</w:t>
      </w:r>
      <w:r w:rsidR="001811F4" w:rsidRPr="00A23A99">
        <w:rPr>
          <w:rFonts w:ascii="Arial" w:hAnsi="Arial" w:cs="Arial"/>
          <w:b/>
        </w:rPr>
        <w:t xml:space="preserve"> </w:t>
      </w:r>
      <w:r w:rsidR="003200E3">
        <w:rPr>
          <w:rFonts w:ascii="Arial" w:hAnsi="Arial" w:cs="Arial"/>
          <w:b/>
        </w:rPr>
        <w:t>KT: Dissemination and Implementation</w:t>
      </w:r>
    </w:p>
    <w:p w14:paraId="7D4CCB4E" w14:textId="394D1A06" w:rsidR="003200E3" w:rsidRDefault="003200E3" w:rsidP="00560D41">
      <w:pPr>
        <w:rPr>
          <w:rFonts w:ascii="Arial" w:hAnsi="Arial" w:cs="Arial"/>
          <w:b/>
        </w:rPr>
      </w:pPr>
      <w:r>
        <w:rPr>
          <w:rFonts w:ascii="Arial" w:hAnsi="Arial" w:cs="Arial"/>
          <w:b/>
        </w:rPr>
        <w:t xml:space="preserve">Knowledge </w:t>
      </w:r>
      <w:proofErr w:type="spellStart"/>
      <w:r>
        <w:rPr>
          <w:rFonts w:ascii="Arial" w:hAnsi="Arial" w:cs="Arial"/>
          <w:b/>
        </w:rPr>
        <w:t>Mobilisation</w:t>
      </w:r>
      <w:proofErr w:type="spellEnd"/>
    </w:p>
    <w:p w14:paraId="221C78A5" w14:textId="4BBD1493" w:rsidR="003200E3" w:rsidRPr="003200E3" w:rsidRDefault="003200E3" w:rsidP="00560D41">
      <w:pPr>
        <w:rPr>
          <w:rFonts w:ascii="Arial" w:hAnsi="Arial" w:cs="Arial"/>
        </w:rPr>
      </w:pPr>
      <w:r w:rsidRPr="003200E3">
        <w:rPr>
          <w:rFonts w:ascii="Arial" w:hAnsi="Arial" w:cs="Arial"/>
        </w:rPr>
        <w:t xml:space="preserve">Image of a box with two columns and 2 rows within each column, one column is Dissemination the other </w:t>
      </w:r>
      <w:r w:rsidR="004D664D">
        <w:rPr>
          <w:rFonts w:ascii="Arial" w:hAnsi="Arial" w:cs="Arial"/>
        </w:rPr>
        <w:t xml:space="preserve">is </w:t>
      </w:r>
      <w:r w:rsidRPr="003200E3">
        <w:rPr>
          <w:rFonts w:ascii="Arial" w:hAnsi="Arial" w:cs="Arial"/>
        </w:rPr>
        <w:t>Implementation</w:t>
      </w:r>
    </w:p>
    <w:p w14:paraId="5DEC27FA" w14:textId="4D5F0CDE" w:rsidR="003200E3" w:rsidRDefault="003200E3" w:rsidP="00560D41">
      <w:pPr>
        <w:rPr>
          <w:rFonts w:ascii="Arial" w:hAnsi="Arial" w:cs="Arial"/>
        </w:rPr>
      </w:pPr>
      <w:r w:rsidRPr="003200E3">
        <w:rPr>
          <w:rFonts w:ascii="Arial" w:hAnsi="Arial" w:cs="Arial"/>
        </w:rPr>
        <w:t xml:space="preserve">Under Dissemination and under the row titled </w:t>
      </w:r>
      <w:r>
        <w:rPr>
          <w:rFonts w:ascii="Arial" w:hAnsi="Arial" w:cs="Arial"/>
        </w:rPr>
        <w:t>“</w:t>
      </w:r>
      <w:r w:rsidRPr="003200E3">
        <w:rPr>
          <w:rFonts w:ascii="Arial" w:hAnsi="Arial" w:cs="Arial"/>
        </w:rPr>
        <w:t>Practice</w:t>
      </w:r>
      <w:r>
        <w:rPr>
          <w:rFonts w:ascii="Arial" w:hAnsi="Arial" w:cs="Arial"/>
        </w:rPr>
        <w:t>” is a paragraph titled “Dissemination Practice” Purposive distribution of information and intervention materials to a specific audience. The intent is to spread information. (NIH). Under the same column but in the row titled “Science” is a paragraph titled “Dissemination Science” The scientific study of processes and variables that determine and/or influence the spread/sharing of knowledge to various stakeholders.</w:t>
      </w:r>
    </w:p>
    <w:p w14:paraId="55782C5A" w14:textId="1DDC53FF" w:rsidR="006C5F2D" w:rsidRDefault="006C5F2D" w:rsidP="00560D41">
      <w:pPr>
        <w:rPr>
          <w:rFonts w:ascii="Arial" w:hAnsi="Arial" w:cs="Arial"/>
        </w:rPr>
      </w:pPr>
      <w:r>
        <w:rPr>
          <w:rFonts w:ascii="Arial" w:hAnsi="Arial" w:cs="Arial"/>
        </w:rPr>
        <w:t xml:space="preserve">Under Implementation and under the row titled “Practice” is a paragraph titled “Implementation Practice” The use of strategies to adopt and integrate evidence-based interventions and change practice within specific settings. (NIH). Under the same column but in the row titled “Science” is a paragraph titled “Implementation Science” </w:t>
      </w:r>
      <w:r>
        <w:rPr>
          <w:rFonts w:ascii="Arial" w:hAnsi="Arial" w:cs="Arial"/>
        </w:rPr>
        <w:lastRenderedPageBreak/>
        <w:t xml:space="preserve">The scientific study of </w:t>
      </w:r>
      <w:r w:rsidR="00E075E4">
        <w:rPr>
          <w:rFonts w:ascii="Arial" w:hAnsi="Arial" w:cs="Arial"/>
        </w:rPr>
        <w:t>the methods to promote the upta</w:t>
      </w:r>
      <w:r>
        <w:rPr>
          <w:rFonts w:ascii="Arial" w:hAnsi="Arial" w:cs="Arial"/>
        </w:rPr>
        <w:t>ke of research findings in clinical, organizational, or policy context. (Implementation Science journal)</w:t>
      </w:r>
      <w:r w:rsidR="00B91516">
        <w:rPr>
          <w:rFonts w:ascii="Arial" w:hAnsi="Arial" w:cs="Arial"/>
        </w:rPr>
        <w:t>.</w:t>
      </w:r>
    </w:p>
    <w:p w14:paraId="0C1E102A" w14:textId="77777777" w:rsidR="00560D41" w:rsidRPr="003200E3" w:rsidRDefault="00560D41" w:rsidP="00560D41">
      <w:pPr>
        <w:rPr>
          <w:rFonts w:ascii="Arial" w:hAnsi="Arial" w:cs="Arial"/>
        </w:rPr>
      </w:pPr>
    </w:p>
    <w:p w14:paraId="0F3251FC" w14:textId="354FD0D5" w:rsidR="006464C3" w:rsidRDefault="00600637" w:rsidP="00560D41">
      <w:pPr>
        <w:rPr>
          <w:rFonts w:ascii="Arial" w:hAnsi="Arial" w:cs="Arial"/>
          <w:b/>
        </w:rPr>
      </w:pPr>
      <w:r w:rsidRPr="00F82BA1">
        <w:rPr>
          <w:rFonts w:ascii="Arial" w:hAnsi="Arial" w:cs="Arial"/>
          <w:b/>
        </w:rPr>
        <w:t xml:space="preserve">Slide 9: </w:t>
      </w:r>
      <w:r w:rsidR="005630CA">
        <w:rPr>
          <w:rFonts w:ascii="Arial" w:hAnsi="Arial" w:cs="Arial"/>
          <w:b/>
        </w:rPr>
        <w:t>Two broad types of KT at CIHR</w:t>
      </w:r>
    </w:p>
    <w:p w14:paraId="68512994" w14:textId="77777777" w:rsidR="005630CA" w:rsidRDefault="005630CA" w:rsidP="00560D41">
      <w:pPr>
        <w:rPr>
          <w:rFonts w:ascii="Arial" w:hAnsi="Arial" w:cs="Arial"/>
          <w:b/>
        </w:rPr>
      </w:pPr>
      <w:r>
        <w:rPr>
          <w:rFonts w:ascii="Arial" w:hAnsi="Arial" w:cs="Arial"/>
          <w:b/>
        </w:rPr>
        <w:t>End of grant KT:</w:t>
      </w:r>
    </w:p>
    <w:p w14:paraId="6BC31028" w14:textId="0CB51299" w:rsidR="005630CA" w:rsidRPr="006B17AA" w:rsidRDefault="005630CA" w:rsidP="006B17AA">
      <w:pPr>
        <w:rPr>
          <w:rFonts w:ascii="Arial" w:hAnsi="Arial" w:cs="Arial"/>
        </w:rPr>
      </w:pPr>
      <w:r w:rsidRPr="006B17AA">
        <w:rPr>
          <w:rFonts w:ascii="Arial" w:hAnsi="Arial" w:cs="Arial"/>
        </w:rPr>
        <w:t>The researcher develops and implements a plan for making knowledge users aware of the knowledge generated through a research project</w:t>
      </w:r>
    </w:p>
    <w:p w14:paraId="520B506C" w14:textId="3B28D487" w:rsidR="005630CA" w:rsidRPr="005630CA" w:rsidRDefault="005630CA" w:rsidP="00560D41">
      <w:pPr>
        <w:rPr>
          <w:rFonts w:ascii="Arial" w:hAnsi="Arial" w:cs="Arial"/>
          <w:b/>
        </w:rPr>
      </w:pPr>
      <w:r w:rsidRPr="005630CA">
        <w:rPr>
          <w:rFonts w:ascii="Arial" w:hAnsi="Arial" w:cs="Arial"/>
          <w:b/>
        </w:rPr>
        <w:t>Integrated KT:</w:t>
      </w:r>
    </w:p>
    <w:p w14:paraId="7528D964" w14:textId="4304FB54" w:rsidR="005630CA" w:rsidRPr="006B17AA" w:rsidRDefault="006B17AA" w:rsidP="006B17AA">
      <w:pPr>
        <w:rPr>
          <w:rFonts w:ascii="Arial" w:hAnsi="Arial" w:cs="Arial"/>
        </w:rPr>
      </w:pPr>
      <w:r w:rsidRPr="00506577">
        <w:rPr>
          <w:rFonts w:ascii="Arial" w:hAnsi="Arial" w:cs="Arial"/>
        </w:rPr>
        <w:t>•</w:t>
      </w:r>
      <w:r w:rsidR="005630CA" w:rsidRPr="006B17AA">
        <w:rPr>
          <w:rFonts w:ascii="Arial" w:hAnsi="Arial" w:cs="Arial"/>
        </w:rPr>
        <w:t>Research approaches that engage potential knowledge users as partners in the research process</w:t>
      </w:r>
    </w:p>
    <w:p w14:paraId="113AA1A7" w14:textId="560C18BC" w:rsidR="005630CA" w:rsidRPr="006B17AA" w:rsidRDefault="006B17AA" w:rsidP="006B17AA">
      <w:pPr>
        <w:rPr>
          <w:rFonts w:ascii="Arial" w:hAnsi="Arial" w:cs="Arial"/>
        </w:rPr>
      </w:pPr>
      <w:r w:rsidRPr="00506577">
        <w:rPr>
          <w:rFonts w:ascii="Arial" w:hAnsi="Arial" w:cs="Arial"/>
        </w:rPr>
        <w:t>•</w:t>
      </w:r>
      <w:r w:rsidR="005630CA" w:rsidRPr="006B17AA">
        <w:rPr>
          <w:rFonts w:ascii="Arial" w:hAnsi="Arial" w:cs="Arial"/>
        </w:rPr>
        <w:t>Requires a collaborative or participatory approach to r</w:t>
      </w:r>
      <w:r w:rsidR="00FF5224" w:rsidRPr="006B17AA">
        <w:rPr>
          <w:rFonts w:ascii="Arial" w:hAnsi="Arial" w:cs="Arial"/>
        </w:rPr>
        <w:t xml:space="preserve">esearch that is action oriented </w:t>
      </w:r>
      <w:r w:rsidR="005630CA" w:rsidRPr="006B17AA">
        <w:rPr>
          <w:rFonts w:ascii="Arial" w:hAnsi="Arial" w:cs="Arial"/>
        </w:rPr>
        <w:t>and is solutions and impact focused</w:t>
      </w:r>
    </w:p>
    <w:p w14:paraId="01B567B1" w14:textId="09176829" w:rsidR="005630CA" w:rsidRPr="006B17AA" w:rsidRDefault="006B17AA" w:rsidP="006B17AA">
      <w:pPr>
        <w:rPr>
          <w:rFonts w:ascii="Arial" w:hAnsi="Arial" w:cs="Arial"/>
        </w:rPr>
      </w:pPr>
      <w:r w:rsidRPr="00506577">
        <w:rPr>
          <w:rFonts w:ascii="Arial" w:hAnsi="Arial" w:cs="Arial"/>
        </w:rPr>
        <w:t>•</w:t>
      </w:r>
      <w:r w:rsidR="005630CA" w:rsidRPr="006B17AA">
        <w:rPr>
          <w:rFonts w:ascii="Arial" w:hAnsi="Arial" w:cs="Arial"/>
        </w:rPr>
        <w:t>For example, the knowledge user partner helps to define the research question and is involved in interpreting and applying the findings</w:t>
      </w:r>
    </w:p>
    <w:p w14:paraId="1B7FA70F" w14:textId="16640159" w:rsidR="006C0926" w:rsidRPr="006C0926" w:rsidRDefault="006C0926" w:rsidP="006C0926">
      <w:pPr>
        <w:rPr>
          <w:rFonts w:ascii="Arial" w:hAnsi="Arial" w:cs="Arial"/>
        </w:rPr>
      </w:pPr>
      <w:r>
        <w:rPr>
          <w:rFonts w:ascii="Arial" w:hAnsi="Arial" w:cs="Arial"/>
        </w:rPr>
        <w:t>Sour</w:t>
      </w:r>
      <w:r w:rsidRPr="006C0926">
        <w:rPr>
          <w:rFonts w:ascii="Arial" w:hAnsi="Arial" w:cs="Arial"/>
        </w:rPr>
        <w:t xml:space="preserve">ce: </w:t>
      </w:r>
      <w:hyperlink r:id="rId10" w:history="1">
        <w:r w:rsidRPr="006C0926">
          <w:rPr>
            <w:rFonts w:ascii="Arial" w:hAnsi="Arial" w:cs="Arial"/>
            <w:color w:val="0000E9"/>
            <w:u w:val="single" w:color="0000E9"/>
          </w:rPr>
          <w:t>http://www.cihr-irsc.gc.ca/e/45321.html</w:t>
        </w:r>
      </w:hyperlink>
    </w:p>
    <w:p w14:paraId="6B4CF004" w14:textId="77777777" w:rsidR="00560D41" w:rsidRDefault="00560D41" w:rsidP="00560D41">
      <w:pPr>
        <w:rPr>
          <w:rFonts w:ascii="Arial" w:hAnsi="Arial" w:cs="Arial"/>
        </w:rPr>
      </w:pPr>
    </w:p>
    <w:p w14:paraId="0B5D3DB8" w14:textId="152C6D36" w:rsidR="00560D41" w:rsidRDefault="008F31D1" w:rsidP="00560D41">
      <w:pPr>
        <w:rPr>
          <w:rFonts w:ascii="Arial" w:hAnsi="Arial" w:cs="Arial"/>
          <w:b/>
        </w:rPr>
      </w:pPr>
      <w:r w:rsidRPr="00A23A99">
        <w:rPr>
          <w:rFonts w:ascii="Arial" w:hAnsi="Arial" w:cs="Arial"/>
          <w:b/>
        </w:rPr>
        <w:t xml:space="preserve">Slide 10: </w:t>
      </w:r>
      <w:r w:rsidR="00506577">
        <w:rPr>
          <w:rFonts w:ascii="Arial" w:hAnsi="Arial" w:cs="Arial"/>
          <w:b/>
        </w:rPr>
        <w:t>KT Canada</w:t>
      </w:r>
    </w:p>
    <w:p w14:paraId="556E0108" w14:textId="63FD88ED" w:rsidR="00506577" w:rsidRPr="00506577" w:rsidRDefault="00506577" w:rsidP="00506577">
      <w:pPr>
        <w:rPr>
          <w:rFonts w:ascii="Arial" w:hAnsi="Arial" w:cs="Arial"/>
        </w:rPr>
      </w:pPr>
      <w:r w:rsidRPr="00506577">
        <w:rPr>
          <w:rFonts w:ascii="Arial" w:hAnsi="Arial" w:cs="Arial"/>
        </w:rPr>
        <w:t>•Funded by CIHR-CFI in 2007</w:t>
      </w:r>
    </w:p>
    <w:p w14:paraId="782A840B" w14:textId="107AE34D" w:rsidR="00506577" w:rsidRPr="00506577" w:rsidRDefault="00506577" w:rsidP="00506577">
      <w:pPr>
        <w:rPr>
          <w:rFonts w:ascii="Arial" w:hAnsi="Arial" w:cs="Arial"/>
        </w:rPr>
      </w:pPr>
      <w:r w:rsidRPr="00506577">
        <w:rPr>
          <w:rFonts w:ascii="Arial" w:hAnsi="Arial" w:cs="Arial"/>
        </w:rPr>
        <w:t>•National training initiative funded in 2008</w:t>
      </w:r>
    </w:p>
    <w:p w14:paraId="121888AB" w14:textId="556ECB27" w:rsidR="00506577" w:rsidRPr="00506577" w:rsidRDefault="00506577" w:rsidP="00506577">
      <w:pPr>
        <w:rPr>
          <w:rFonts w:ascii="Arial" w:hAnsi="Arial" w:cs="Arial"/>
        </w:rPr>
      </w:pPr>
      <w:r w:rsidRPr="00506577">
        <w:rPr>
          <w:rFonts w:ascii="Arial" w:hAnsi="Arial" w:cs="Arial"/>
        </w:rPr>
        <w:t xml:space="preserve">•Now, many of the </w:t>
      </w:r>
      <w:proofErr w:type="spellStart"/>
      <w:r w:rsidRPr="00506577">
        <w:rPr>
          <w:rFonts w:ascii="Arial" w:hAnsi="Arial" w:cs="Arial"/>
        </w:rPr>
        <w:t>centres</w:t>
      </w:r>
      <w:proofErr w:type="spellEnd"/>
      <w:r w:rsidRPr="00506577">
        <w:rPr>
          <w:rFonts w:ascii="Arial" w:hAnsi="Arial" w:cs="Arial"/>
        </w:rPr>
        <w:t xml:space="preserve"> are funded by CIHR-SPOR</w:t>
      </w:r>
    </w:p>
    <w:p w14:paraId="4083A3B7" w14:textId="77777777" w:rsidR="00506577" w:rsidRDefault="00506577" w:rsidP="00560D41">
      <w:pPr>
        <w:rPr>
          <w:rFonts w:ascii="Arial" w:hAnsi="Arial" w:cs="Arial"/>
          <w:b/>
        </w:rPr>
      </w:pPr>
    </w:p>
    <w:p w14:paraId="228B9362" w14:textId="4A4625A4" w:rsidR="000248E3" w:rsidRDefault="008F31D1" w:rsidP="00560D41">
      <w:pPr>
        <w:rPr>
          <w:rFonts w:ascii="Arial" w:hAnsi="Arial" w:cs="Arial"/>
          <w:b/>
        </w:rPr>
      </w:pPr>
      <w:r w:rsidRPr="001E47D5">
        <w:rPr>
          <w:rFonts w:ascii="Arial" w:hAnsi="Arial" w:cs="Arial"/>
          <w:b/>
        </w:rPr>
        <w:t xml:space="preserve">Slide 11: </w:t>
      </w:r>
      <w:r w:rsidR="008B4997">
        <w:rPr>
          <w:rFonts w:ascii="Arial" w:hAnsi="Arial" w:cs="Arial"/>
          <w:b/>
        </w:rPr>
        <w:t>KT Canada</w:t>
      </w:r>
    </w:p>
    <w:p w14:paraId="40520932" w14:textId="62039BA6" w:rsidR="008B4997" w:rsidRPr="008B4997" w:rsidRDefault="008B4997" w:rsidP="008B4997">
      <w:pPr>
        <w:rPr>
          <w:rFonts w:ascii="Arial" w:hAnsi="Arial" w:cs="Arial"/>
        </w:rPr>
      </w:pPr>
      <w:r w:rsidRPr="008B4997">
        <w:rPr>
          <w:rFonts w:ascii="Arial" w:hAnsi="Arial" w:cs="Arial"/>
        </w:rPr>
        <w:t xml:space="preserve">•4 </w:t>
      </w:r>
      <w:r w:rsidRPr="008B4997">
        <w:rPr>
          <w:rFonts w:ascii="Arial" w:hAnsi="Arial" w:cs="Arial"/>
          <w:bCs/>
          <w:i/>
          <w:iCs/>
        </w:rPr>
        <w:t>interlinked research programs</w:t>
      </w:r>
    </w:p>
    <w:p w14:paraId="26379F1A" w14:textId="2B732B21" w:rsidR="008B4997" w:rsidRPr="008B4997" w:rsidRDefault="008B4997" w:rsidP="008B4997">
      <w:pPr>
        <w:pStyle w:val="ListParagraph"/>
        <w:numPr>
          <w:ilvl w:val="0"/>
          <w:numId w:val="23"/>
        </w:numPr>
        <w:rPr>
          <w:rFonts w:ascii="Arial" w:hAnsi="Arial" w:cs="Arial"/>
        </w:rPr>
      </w:pPr>
      <w:r w:rsidRPr="008B4997">
        <w:rPr>
          <w:rFonts w:ascii="Arial" w:hAnsi="Arial" w:cs="Arial"/>
        </w:rPr>
        <w:t>Knowledge synthesis and distillation</w:t>
      </w:r>
    </w:p>
    <w:p w14:paraId="3EDF7D6A" w14:textId="4080A601" w:rsidR="008B4997" w:rsidRPr="008B4997" w:rsidRDefault="008B4997" w:rsidP="008B4997">
      <w:pPr>
        <w:pStyle w:val="ListParagraph"/>
        <w:numPr>
          <w:ilvl w:val="0"/>
          <w:numId w:val="23"/>
        </w:numPr>
        <w:rPr>
          <w:rFonts w:ascii="Arial" w:hAnsi="Arial" w:cs="Arial"/>
        </w:rPr>
      </w:pPr>
      <w:r w:rsidRPr="008B4997">
        <w:rPr>
          <w:rFonts w:ascii="Arial" w:hAnsi="Arial" w:cs="Arial"/>
        </w:rPr>
        <w:t xml:space="preserve">Determinants of knowledge use </w:t>
      </w:r>
    </w:p>
    <w:p w14:paraId="1EDB249A" w14:textId="3CFFB4BF" w:rsidR="008B4997" w:rsidRPr="008B4997" w:rsidRDefault="008B4997" w:rsidP="008B4997">
      <w:pPr>
        <w:pStyle w:val="ListParagraph"/>
        <w:numPr>
          <w:ilvl w:val="0"/>
          <w:numId w:val="23"/>
        </w:numPr>
        <w:rPr>
          <w:rFonts w:ascii="Arial" w:hAnsi="Arial" w:cs="Arial"/>
        </w:rPr>
      </w:pPr>
      <w:r w:rsidRPr="008B4997">
        <w:rPr>
          <w:rFonts w:ascii="Arial" w:hAnsi="Arial" w:cs="Arial"/>
        </w:rPr>
        <w:t>Selecting, tailoring and evaluating effectiveness and efficiency of KT interventions, and</w:t>
      </w:r>
      <w:r w:rsidRPr="008B4997">
        <w:rPr>
          <w:rFonts w:ascii="Arial" w:hAnsi="Arial" w:cs="Arial"/>
          <w:bCs/>
        </w:rPr>
        <w:t xml:space="preserve"> </w:t>
      </w:r>
    </w:p>
    <w:p w14:paraId="5817DA4C" w14:textId="7A5A3818" w:rsidR="008B4997" w:rsidRPr="008B4997" w:rsidRDefault="008B4997" w:rsidP="008B4997">
      <w:pPr>
        <w:pStyle w:val="ListParagraph"/>
        <w:numPr>
          <w:ilvl w:val="0"/>
          <w:numId w:val="23"/>
        </w:numPr>
        <w:rPr>
          <w:rFonts w:ascii="Arial" w:hAnsi="Arial" w:cs="Arial"/>
        </w:rPr>
      </w:pPr>
      <w:r w:rsidRPr="008B4997">
        <w:rPr>
          <w:rFonts w:ascii="Arial" w:hAnsi="Arial" w:cs="Arial"/>
        </w:rPr>
        <w:t xml:space="preserve">Sustaining KT </w:t>
      </w:r>
    </w:p>
    <w:p w14:paraId="261E71D9" w14:textId="3F771655" w:rsidR="008B4997" w:rsidRPr="008B4997" w:rsidRDefault="008B4997" w:rsidP="008B4997">
      <w:pPr>
        <w:rPr>
          <w:rFonts w:ascii="Arial" w:hAnsi="Arial" w:cs="Arial"/>
        </w:rPr>
      </w:pPr>
      <w:r w:rsidRPr="008B4997">
        <w:rPr>
          <w:rFonts w:ascii="Arial" w:hAnsi="Arial" w:cs="Arial"/>
        </w:rPr>
        <w:t xml:space="preserve">•Targeting 3 </w:t>
      </w:r>
      <w:r w:rsidRPr="008B4997">
        <w:rPr>
          <w:rFonts w:ascii="Arial" w:hAnsi="Arial" w:cs="Arial"/>
          <w:bCs/>
          <w:i/>
          <w:iCs/>
        </w:rPr>
        <w:t>key stakeholder groups</w:t>
      </w:r>
    </w:p>
    <w:p w14:paraId="577BFA82" w14:textId="77777777" w:rsidR="008B4997" w:rsidRPr="008B4997" w:rsidRDefault="008B4997" w:rsidP="00560D41">
      <w:pPr>
        <w:rPr>
          <w:rFonts w:ascii="Arial" w:hAnsi="Arial" w:cs="Arial"/>
        </w:rPr>
      </w:pPr>
    </w:p>
    <w:p w14:paraId="5A482FE5" w14:textId="77777777" w:rsidR="00560D41" w:rsidRDefault="00560D41" w:rsidP="00560D41">
      <w:pPr>
        <w:rPr>
          <w:rFonts w:ascii="Arial" w:hAnsi="Arial" w:cs="Arial"/>
          <w:b/>
        </w:rPr>
      </w:pPr>
    </w:p>
    <w:p w14:paraId="5FA1DB89" w14:textId="775F23A9" w:rsidR="000248E3" w:rsidRDefault="000B5B6A" w:rsidP="00560D41">
      <w:pPr>
        <w:rPr>
          <w:rFonts w:ascii="Arial" w:hAnsi="Arial" w:cs="Arial"/>
          <w:b/>
        </w:rPr>
      </w:pPr>
      <w:r>
        <w:rPr>
          <w:rFonts w:ascii="Arial" w:hAnsi="Arial" w:cs="Arial"/>
          <w:b/>
        </w:rPr>
        <w:t xml:space="preserve">Slide 12: </w:t>
      </w:r>
      <w:r w:rsidR="00E97078">
        <w:rPr>
          <w:rFonts w:ascii="Arial" w:hAnsi="Arial" w:cs="Arial"/>
          <w:b/>
        </w:rPr>
        <w:t>Building capacity in KT: KT Canada</w:t>
      </w:r>
    </w:p>
    <w:p w14:paraId="3803018A" w14:textId="76AE0326" w:rsidR="00BD6EF4" w:rsidRPr="00BD6EF4" w:rsidRDefault="00BD6EF4" w:rsidP="00BD6EF4">
      <w:pPr>
        <w:ind w:left="180" w:hanging="180"/>
        <w:rPr>
          <w:rFonts w:ascii="Arial" w:hAnsi="Arial" w:cs="Arial"/>
        </w:rPr>
      </w:pPr>
      <w:r w:rsidRPr="00BD6EF4">
        <w:rPr>
          <w:rFonts w:ascii="Arial" w:hAnsi="Arial" w:cs="Arial"/>
        </w:rPr>
        <w:t xml:space="preserve">•Provide outstanding, innovative training </w:t>
      </w:r>
      <w:proofErr w:type="spellStart"/>
      <w:r w:rsidRPr="00BD6EF4">
        <w:rPr>
          <w:rFonts w:ascii="Arial" w:hAnsi="Arial" w:cs="Arial"/>
        </w:rPr>
        <w:t>centres</w:t>
      </w:r>
      <w:proofErr w:type="spellEnd"/>
      <w:r w:rsidRPr="00BD6EF4">
        <w:rPr>
          <w:rFonts w:ascii="Arial" w:hAnsi="Arial" w:cs="Arial"/>
        </w:rPr>
        <w:t xml:space="preserve"> and laboratories for trainees from various research disciplines to develop skills in KT and KT research; </w:t>
      </w:r>
    </w:p>
    <w:p w14:paraId="665ED130" w14:textId="0CBBAFAF" w:rsidR="00BD6EF4" w:rsidRPr="00BD6EF4" w:rsidRDefault="00BD6EF4" w:rsidP="00BD6EF4">
      <w:pPr>
        <w:ind w:left="180" w:hanging="180"/>
        <w:rPr>
          <w:rFonts w:ascii="Arial" w:hAnsi="Arial" w:cs="Arial"/>
        </w:rPr>
      </w:pPr>
      <w:r w:rsidRPr="00BD6EF4">
        <w:rPr>
          <w:rFonts w:ascii="Arial" w:hAnsi="Arial" w:cs="Arial"/>
        </w:rPr>
        <w:t>•Link trainees and mentors to collaboratively advance the science and practice of KT; and,</w:t>
      </w:r>
    </w:p>
    <w:p w14:paraId="5E8C1845" w14:textId="174F8F30" w:rsidR="00BD6EF4" w:rsidRPr="00BD6EF4" w:rsidRDefault="00BD6EF4" w:rsidP="00BD6EF4">
      <w:pPr>
        <w:ind w:left="180" w:hanging="180"/>
        <w:rPr>
          <w:rFonts w:ascii="Arial" w:hAnsi="Arial" w:cs="Arial"/>
        </w:rPr>
      </w:pPr>
      <w:r w:rsidRPr="00BD6EF4">
        <w:rPr>
          <w:rFonts w:ascii="Arial" w:hAnsi="Arial" w:cs="Arial"/>
        </w:rPr>
        <w:t>•Partner with other national and international research groups to promote KT research and training</w:t>
      </w:r>
    </w:p>
    <w:p w14:paraId="3F8BF63E" w14:textId="40494767" w:rsidR="00BD6EF4" w:rsidRPr="00BD6EF4" w:rsidRDefault="00BD6EF4" w:rsidP="00BD6EF4">
      <w:pPr>
        <w:pStyle w:val="ListParagraph"/>
        <w:numPr>
          <w:ilvl w:val="0"/>
          <w:numId w:val="23"/>
        </w:numPr>
        <w:rPr>
          <w:rFonts w:ascii="Arial" w:hAnsi="Arial" w:cs="Arial"/>
        </w:rPr>
      </w:pPr>
      <w:r w:rsidRPr="00BD6EF4">
        <w:rPr>
          <w:rFonts w:ascii="Arial" w:hAnsi="Arial" w:cs="Arial"/>
        </w:rPr>
        <w:t>Implement Sci. 2011 Dec 9</w:t>
      </w:r>
      <w:proofErr w:type="gramStart"/>
      <w:r w:rsidRPr="00BD6EF4">
        <w:rPr>
          <w:rFonts w:ascii="Arial" w:hAnsi="Arial" w:cs="Arial"/>
        </w:rPr>
        <w:t>;6:127</w:t>
      </w:r>
      <w:proofErr w:type="gramEnd"/>
      <w:r w:rsidRPr="00BD6EF4">
        <w:rPr>
          <w:rFonts w:ascii="Arial" w:hAnsi="Arial" w:cs="Arial"/>
        </w:rPr>
        <w:t>.</w:t>
      </w:r>
    </w:p>
    <w:p w14:paraId="23B3C6ED" w14:textId="77777777" w:rsidR="00BD6EF4" w:rsidRDefault="00BD6EF4" w:rsidP="00560D41">
      <w:pPr>
        <w:rPr>
          <w:rFonts w:ascii="Arial" w:hAnsi="Arial" w:cs="Arial"/>
          <w:b/>
        </w:rPr>
      </w:pPr>
    </w:p>
    <w:p w14:paraId="61DFD49D" w14:textId="6B07D493" w:rsidR="00560D41" w:rsidRDefault="009F7355" w:rsidP="00560D41">
      <w:pPr>
        <w:rPr>
          <w:rFonts w:ascii="Arial" w:hAnsi="Arial" w:cs="Arial"/>
          <w:b/>
        </w:rPr>
      </w:pPr>
      <w:r>
        <w:rPr>
          <w:rFonts w:ascii="Arial" w:hAnsi="Arial" w:cs="Arial"/>
          <w:b/>
        </w:rPr>
        <w:t>Slide 13:</w:t>
      </w:r>
      <w:r w:rsidR="00233B5F">
        <w:rPr>
          <w:rFonts w:ascii="Arial" w:hAnsi="Arial" w:cs="Arial"/>
          <w:b/>
        </w:rPr>
        <w:t xml:space="preserve"> </w:t>
      </w:r>
      <w:r w:rsidR="00A424F3">
        <w:rPr>
          <w:rFonts w:ascii="Arial" w:hAnsi="Arial" w:cs="Arial"/>
          <w:b/>
        </w:rPr>
        <w:t>4 core competencies:</w:t>
      </w:r>
    </w:p>
    <w:p w14:paraId="0FBA8279" w14:textId="6234EA45" w:rsidR="00A424F3" w:rsidRPr="00A424F3" w:rsidRDefault="00A424F3" w:rsidP="00A424F3">
      <w:pPr>
        <w:rPr>
          <w:rFonts w:ascii="Arial" w:hAnsi="Arial" w:cs="Arial"/>
        </w:rPr>
      </w:pPr>
      <w:r w:rsidRPr="00A424F3">
        <w:rPr>
          <w:rFonts w:ascii="Arial" w:hAnsi="Arial" w:cs="Arial"/>
        </w:rPr>
        <w:t xml:space="preserve">•Understanding models of KT and KT research; </w:t>
      </w:r>
    </w:p>
    <w:p w14:paraId="012C1C06" w14:textId="230C3DFF" w:rsidR="00A424F3" w:rsidRPr="00A424F3" w:rsidRDefault="00A424F3" w:rsidP="00A424F3">
      <w:pPr>
        <w:rPr>
          <w:rFonts w:ascii="Arial" w:hAnsi="Arial" w:cs="Arial"/>
        </w:rPr>
      </w:pPr>
      <w:r w:rsidRPr="00A424F3">
        <w:rPr>
          <w:rFonts w:ascii="Arial" w:hAnsi="Arial" w:cs="Arial"/>
        </w:rPr>
        <w:t xml:space="preserve">•Developing capacity to conduct systematic reviews to address KT questions; </w:t>
      </w:r>
    </w:p>
    <w:p w14:paraId="143BD146" w14:textId="27B32CD1" w:rsidR="00A424F3" w:rsidRPr="00A424F3" w:rsidRDefault="00A424F3" w:rsidP="00A424F3">
      <w:pPr>
        <w:ind w:left="180" w:hanging="180"/>
        <w:rPr>
          <w:rFonts w:ascii="Arial" w:hAnsi="Arial" w:cs="Arial"/>
        </w:rPr>
      </w:pPr>
      <w:r w:rsidRPr="00A424F3">
        <w:rPr>
          <w:rFonts w:ascii="Arial" w:hAnsi="Arial" w:cs="Arial"/>
        </w:rPr>
        <w:t xml:space="preserve">•Developing capacity in qualitative and mixed methods to examine factors that influence use of evidence; and, </w:t>
      </w:r>
    </w:p>
    <w:p w14:paraId="581CA6CB" w14:textId="1BAAA805" w:rsidR="00560D41" w:rsidRDefault="00A424F3" w:rsidP="002134D0">
      <w:pPr>
        <w:ind w:left="180" w:hanging="180"/>
        <w:rPr>
          <w:rFonts w:ascii="Arial" w:hAnsi="Arial" w:cs="Arial"/>
        </w:rPr>
      </w:pPr>
      <w:r w:rsidRPr="00A424F3">
        <w:rPr>
          <w:rFonts w:ascii="Arial" w:hAnsi="Arial" w:cs="Arial"/>
        </w:rPr>
        <w:lastRenderedPageBreak/>
        <w:t>•Developing skills to evaluate the impact, effectiveness and sustainability of KT strategies in different settings and targeting different stakeholders</w:t>
      </w:r>
    </w:p>
    <w:p w14:paraId="7CFC8F98" w14:textId="77777777" w:rsidR="002134D0" w:rsidRPr="002134D0" w:rsidRDefault="002134D0" w:rsidP="002134D0">
      <w:pPr>
        <w:ind w:left="180" w:hanging="180"/>
        <w:rPr>
          <w:rFonts w:ascii="Arial" w:hAnsi="Arial" w:cs="Arial"/>
        </w:rPr>
      </w:pPr>
    </w:p>
    <w:p w14:paraId="227390B6" w14:textId="1BC6DDE2" w:rsidR="00560D41" w:rsidRDefault="00D861E9">
      <w:pPr>
        <w:rPr>
          <w:rFonts w:ascii="Arial" w:hAnsi="Arial" w:cs="Arial"/>
          <w:b/>
        </w:rPr>
      </w:pPr>
      <w:r>
        <w:rPr>
          <w:rFonts w:ascii="Arial" w:hAnsi="Arial" w:cs="Arial"/>
          <w:b/>
        </w:rPr>
        <w:t xml:space="preserve">Slide 14: </w:t>
      </w:r>
      <w:r w:rsidR="007B404D">
        <w:rPr>
          <w:rFonts w:ascii="Arial" w:hAnsi="Arial" w:cs="Arial"/>
          <w:b/>
        </w:rPr>
        <w:t>Building capacity in KT</w:t>
      </w:r>
    </w:p>
    <w:p w14:paraId="2925074B" w14:textId="77777777" w:rsidR="00033A2C" w:rsidRPr="00033A2C" w:rsidRDefault="00033A2C" w:rsidP="00033A2C">
      <w:pPr>
        <w:rPr>
          <w:rFonts w:ascii="Arial" w:hAnsi="Arial" w:cs="Arial"/>
        </w:rPr>
      </w:pPr>
      <w:r w:rsidRPr="00033A2C">
        <w:rPr>
          <w:rFonts w:ascii="Arial" w:hAnsi="Arial" w:cs="Arial"/>
        </w:rPr>
        <w:t>Stream 1</w:t>
      </w:r>
    </w:p>
    <w:p w14:paraId="0C95902E" w14:textId="4A289208" w:rsidR="00033A2C" w:rsidRPr="00033A2C" w:rsidRDefault="00033A2C" w:rsidP="00033A2C">
      <w:pPr>
        <w:pStyle w:val="ListParagraph"/>
        <w:numPr>
          <w:ilvl w:val="0"/>
          <w:numId w:val="23"/>
        </w:numPr>
        <w:rPr>
          <w:rFonts w:ascii="Arial" w:hAnsi="Arial" w:cs="Arial"/>
        </w:rPr>
      </w:pPr>
      <w:r w:rsidRPr="00033A2C">
        <w:rPr>
          <w:rFonts w:ascii="Arial" w:hAnsi="Arial" w:cs="Arial"/>
        </w:rPr>
        <w:t>Seminar Series</w:t>
      </w:r>
    </w:p>
    <w:p w14:paraId="60C8F692" w14:textId="2FDB01A8" w:rsidR="00033A2C" w:rsidRPr="00033A2C" w:rsidRDefault="00033A2C" w:rsidP="00033A2C">
      <w:pPr>
        <w:pStyle w:val="ListParagraph"/>
        <w:numPr>
          <w:ilvl w:val="0"/>
          <w:numId w:val="26"/>
        </w:numPr>
        <w:rPr>
          <w:rFonts w:ascii="Arial" w:hAnsi="Arial" w:cs="Arial"/>
        </w:rPr>
      </w:pPr>
      <w:r w:rsidRPr="00033A2C">
        <w:rPr>
          <w:rFonts w:ascii="Arial" w:hAnsi="Arial" w:cs="Arial"/>
        </w:rPr>
        <w:t>Research Operations</w:t>
      </w:r>
    </w:p>
    <w:p w14:paraId="18A83248" w14:textId="05321DE7" w:rsidR="00033A2C" w:rsidRPr="00033A2C" w:rsidRDefault="00033A2C" w:rsidP="00033A2C">
      <w:pPr>
        <w:pStyle w:val="ListParagraph"/>
        <w:numPr>
          <w:ilvl w:val="0"/>
          <w:numId w:val="23"/>
        </w:numPr>
        <w:rPr>
          <w:rFonts w:ascii="Arial" w:hAnsi="Arial" w:cs="Arial"/>
        </w:rPr>
      </w:pPr>
      <w:r w:rsidRPr="00033A2C">
        <w:rPr>
          <w:rFonts w:ascii="Arial" w:hAnsi="Arial" w:cs="Arial"/>
        </w:rPr>
        <w:t>Summer Institute</w:t>
      </w:r>
    </w:p>
    <w:p w14:paraId="079DB593" w14:textId="523E0521" w:rsidR="00033A2C" w:rsidRPr="00033A2C" w:rsidRDefault="00033A2C" w:rsidP="00033A2C">
      <w:pPr>
        <w:pStyle w:val="ListParagraph"/>
        <w:numPr>
          <w:ilvl w:val="0"/>
          <w:numId w:val="23"/>
        </w:numPr>
        <w:rPr>
          <w:rFonts w:ascii="Arial" w:hAnsi="Arial" w:cs="Arial"/>
        </w:rPr>
      </w:pPr>
      <w:r w:rsidRPr="00033A2C">
        <w:rPr>
          <w:rFonts w:ascii="Arial" w:hAnsi="Arial" w:cs="Arial"/>
        </w:rPr>
        <w:t>KT Courses</w:t>
      </w:r>
    </w:p>
    <w:p w14:paraId="484B6B78" w14:textId="6AB1D95C" w:rsidR="00033A2C" w:rsidRPr="00033A2C" w:rsidRDefault="00033A2C" w:rsidP="00033A2C">
      <w:pPr>
        <w:pStyle w:val="ListParagraph"/>
        <w:numPr>
          <w:ilvl w:val="0"/>
          <w:numId w:val="26"/>
        </w:numPr>
        <w:rPr>
          <w:rFonts w:ascii="Arial" w:hAnsi="Arial" w:cs="Arial"/>
        </w:rPr>
      </w:pPr>
      <w:r w:rsidRPr="00033A2C">
        <w:rPr>
          <w:rFonts w:ascii="Arial" w:hAnsi="Arial" w:cs="Arial"/>
        </w:rPr>
        <w:t>Pragmatic Trials</w:t>
      </w:r>
    </w:p>
    <w:p w14:paraId="1066B4BC" w14:textId="110D2F1B" w:rsidR="00033A2C" w:rsidRPr="00033A2C" w:rsidRDefault="00033A2C" w:rsidP="00033A2C">
      <w:pPr>
        <w:ind w:left="360" w:firstLine="720"/>
        <w:rPr>
          <w:rFonts w:ascii="Arial" w:hAnsi="Arial" w:cs="Arial"/>
        </w:rPr>
      </w:pPr>
      <w:r w:rsidRPr="00033A2C">
        <w:rPr>
          <w:rFonts w:ascii="Arial" w:hAnsi="Arial" w:cs="Arial"/>
        </w:rPr>
        <w:t>•</w:t>
      </w:r>
      <w:r>
        <w:rPr>
          <w:rFonts w:ascii="Arial" w:hAnsi="Arial" w:cs="Arial"/>
        </w:rPr>
        <w:tab/>
      </w:r>
      <w:r w:rsidRPr="00033A2C">
        <w:rPr>
          <w:rFonts w:ascii="Arial" w:hAnsi="Arial" w:cs="Arial"/>
        </w:rPr>
        <w:t>Systematic Reviews</w:t>
      </w:r>
    </w:p>
    <w:p w14:paraId="4F30577A" w14:textId="41D4C792" w:rsidR="00033A2C" w:rsidRPr="00033A2C" w:rsidRDefault="00033A2C" w:rsidP="00033A2C">
      <w:pPr>
        <w:ind w:left="360" w:firstLine="720"/>
        <w:rPr>
          <w:rFonts w:ascii="Arial" w:hAnsi="Arial" w:cs="Arial"/>
        </w:rPr>
      </w:pPr>
      <w:r w:rsidRPr="00033A2C">
        <w:rPr>
          <w:rFonts w:ascii="Arial" w:hAnsi="Arial" w:cs="Arial"/>
        </w:rPr>
        <w:t>•</w:t>
      </w:r>
      <w:r>
        <w:rPr>
          <w:rFonts w:ascii="Arial" w:hAnsi="Arial" w:cs="Arial"/>
        </w:rPr>
        <w:tab/>
      </w:r>
      <w:r w:rsidRPr="00033A2C">
        <w:rPr>
          <w:rFonts w:ascii="Arial" w:hAnsi="Arial" w:cs="Arial"/>
        </w:rPr>
        <w:t>Mixed Methods</w:t>
      </w:r>
    </w:p>
    <w:p w14:paraId="0C98D298" w14:textId="1AF8FEB0" w:rsidR="00033A2C" w:rsidRPr="00033A2C" w:rsidRDefault="00033A2C" w:rsidP="00033A2C">
      <w:pPr>
        <w:ind w:left="360" w:firstLine="720"/>
        <w:rPr>
          <w:rFonts w:ascii="Arial" w:hAnsi="Arial" w:cs="Arial"/>
        </w:rPr>
      </w:pPr>
      <w:r w:rsidRPr="00033A2C">
        <w:rPr>
          <w:rFonts w:ascii="Arial" w:hAnsi="Arial" w:cs="Arial"/>
        </w:rPr>
        <w:t>•</w:t>
      </w:r>
      <w:r>
        <w:rPr>
          <w:rFonts w:ascii="Arial" w:hAnsi="Arial" w:cs="Arial"/>
        </w:rPr>
        <w:tab/>
      </w:r>
      <w:r w:rsidRPr="00033A2C">
        <w:rPr>
          <w:rFonts w:ascii="Arial" w:hAnsi="Arial" w:cs="Arial"/>
        </w:rPr>
        <w:t>End of Grant KT</w:t>
      </w:r>
    </w:p>
    <w:p w14:paraId="5DD3BA94" w14:textId="03F00108" w:rsidR="00033A2C" w:rsidRPr="00033A2C" w:rsidRDefault="00033A2C" w:rsidP="00033A2C">
      <w:pPr>
        <w:pStyle w:val="ListParagraph"/>
        <w:numPr>
          <w:ilvl w:val="0"/>
          <w:numId w:val="23"/>
        </w:numPr>
        <w:rPr>
          <w:rFonts w:ascii="Arial" w:hAnsi="Arial" w:cs="Arial"/>
        </w:rPr>
      </w:pPr>
      <w:r w:rsidRPr="00033A2C">
        <w:rPr>
          <w:rFonts w:ascii="Arial" w:hAnsi="Arial" w:cs="Arial"/>
        </w:rPr>
        <w:t>Student Stipends</w:t>
      </w:r>
    </w:p>
    <w:p w14:paraId="1EA9A3CC" w14:textId="252B09F2" w:rsidR="00033A2C" w:rsidRPr="00033A2C" w:rsidRDefault="00033A2C" w:rsidP="00033A2C">
      <w:pPr>
        <w:pStyle w:val="ListParagraph"/>
        <w:numPr>
          <w:ilvl w:val="0"/>
          <w:numId w:val="23"/>
        </w:numPr>
        <w:rPr>
          <w:rFonts w:ascii="Arial" w:hAnsi="Arial" w:cs="Arial"/>
        </w:rPr>
      </w:pPr>
      <w:r w:rsidRPr="00033A2C">
        <w:rPr>
          <w:rFonts w:ascii="Arial" w:hAnsi="Arial" w:cs="Arial"/>
        </w:rPr>
        <w:t>Community of Learners</w:t>
      </w:r>
    </w:p>
    <w:p w14:paraId="6CFD8F64" w14:textId="5459413F" w:rsidR="00033A2C" w:rsidRPr="00033A2C" w:rsidRDefault="00033A2C" w:rsidP="00033A2C">
      <w:pPr>
        <w:pStyle w:val="ListParagraph"/>
        <w:numPr>
          <w:ilvl w:val="0"/>
          <w:numId w:val="23"/>
        </w:numPr>
        <w:rPr>
          <w:rFonts w:ascii="Arial" w:hAnsi="Arial" w:cs="Arial"/>
        </w:rPr>
      </w:pPr>
      <w:r w:rsidRPr="00033A2C">
        <w:rPr>
          <w:rFonts w:ascii="Arial" w:hAnsi="Arial" w:cs="Arial"/>
        </w:rPr>
        <w:t>Mentorship</w:t>
      </w:r>
    </w:p>
    <w:p w14:paraId="02629A52" w14:textId="77777777" w:rsidR="007B404D" w:rsidRDefault="007B404D">
      <w:pPr>
        <w:rPr>
          <w:rFonts w:ascii="Arial" w:hAnsi="Arial" w:cs="Arial"/>
        </w:rPr>
      </w:pPr>
    </w:p>
    <w:p w14:paraId="373AF362" w14:textId="43F991F1" w:rsidR="007B404D" w:rsidRDefault="007B404D">
      <w:pPr>
        <w:rPr>
          <w:rFonts w:ascii="Arial" w:hAnsi="Arial" w:cs="Arial"/>
          <w:b/>
        </w:rPr>
      </w:pPr>
      <w:r w:rsidRPr="008B0713">
        <w:rPr>
          <w:rFonts w:ascii="Arial" w:hAnsi="Arial" w:cs="Arial"/>
          <w:b/>
        </w:rPr>
        <w:t>Slide 15:</w:t>
      </w:r>
      <w:r w:rsidR="0038729F">
        <w:rPr>
          <w:rFonts w:ascii="Arial" w:hAnsi="Arial" w:cs="Arial"/>
          <w:b/>
        </w:rPr>
        <w:t xml:space="preserve"> Mentorship is a key component</w:t>
      </w:r>
    </w:p>
    <w:p w14:paraId="3B043E55" w14:textId="405990C2" w:rsidR="0038729F" w:rsidRPr="00F759C4" w:rsidRDefault="0038729F" w:rsidP="0038729F">
      <w:pPr>
        <w:rPr>
          <w:rFonts w:ascii="Arial" w:hAnsi="Arial" w:cs="Arial"/>
          <w:b/>
        </w:rPr>
      </w:pPr>
      <w:r w:rsidRPr="00F759C4">
        <w:rPr>
          <w:rFonts w:ascii="Arial" w:hAnsi="Arial" w:cs="Arial"/>
          <w:b/>
        </w:rPr>
        <w:t>In a systematic review of factors influencing career choice, important factors include:</w:t>
      </w:r>
    </w:p>
    <w:p w14:paraId="2CD8056B" w14:textId="42D730DD" w:rsidR="0038729F" w:rsidRPr="00E075E4" w:rsidRDefault="00E075E4" w:rsidP="00E075E4">
      <w:pPr>
        <w:rPr>
          <w:rFonts w:ascii="Arial" w:hAnsi="Arial" w:cs="Arial"/>
        </w:rPr>
      </w:pPr>
      <w:r w:rsidRPr="00A424F3">
        <w:rPr>
          <w:rFonts w:ascii="Arial" w:hAnsi="Arial" w:cs="Arial"/>
        </w:rPr>
        <w:t>•</w:t>
      </w:r>
      <w:r w:rsidR="0038729F" w:rsidRPr="00E075E4">
        <w:rPr>
          <w:rFonts w:ascii="Arial" w:hAnsi="Arial" w:cs="Arial"/>
        </w:rPr>
        <w:t xml:space="preserve">Having a mentor </w:t>
      </w:r>
    </w:p>
    <w:p w14:paraId="765498BC" w14:textId="765B4C68" w:rsidR="0038729F" w:rsidRPr="0038729F" w:rsidRDefault="00E075E4" w:rsidP="0038729F">
      <w:pPr>
        <w:rPr>
          <w:rFonts w:ascii="Arial" w:hAnsi="Arial" w:cs="Arial"/>
        </w:rPr>
      </w:pPr>
      <w:r w:rsidRPr="00A424F3">
        <w:rPr>
          <w:rFonts w:ascii="Arial" w:hAnsi="Arial" w:cs="Arial"/>
        </w:rPr>
        <w:t>•</w:t>
      </w:r>
      <w:r w:rsidR="0038729F">
        <w:rPr>
          <w:rFonts w:ascii="Arial" w:hAnsi="Arial" w:cs="Arial"/>
        </w:rPr>
        <w:t xml:space="preserve"> </w:t>
      </w:r>
      <w:r w:rsidR="0038729F" w:rsidRPr="0038729F">
        <w:rPr>
          <w:rFonts w:ascii="Arial" w:hAnsi="Arial" w:cs="Arial"/>
        </w:rPr>
        <w:t>Being exposed to someone who enjoys what they do</w:t>
      </w:r>
    </w:p>
    <w:p w14:paraId="26744D59" w14:textId="471328FC" w:rsidR="0038729F" w:rsidRPr="00F759C4" w:rsidRDefault="0038729F" w:rsidP="0038729F">
      <w:pPr>
        <w:rPr>
          <w:rFonts w:ascii="Arial" w:hAnsi="Arial" w:cs="Arial"/>
          <w:b/>
        </w:rPr>
      </w:pPr>
      <w:r w:rsidRPr="00F759C4">
        <w:rPr>
          <w:rFonts w:ascii="Arial" w:hAnsi="Arial" w:cs="Arial"/>
          <w:b/>
        </w:rPr>
        <w:t>In a systematic review of mentorship, good mentorship enhances:</w:t>
      </w:r>
    </w:p>
    <w:p w14:paraId="56C81C48" w14:textId="3AE50939" w:rsidR="0038729F" w:rsidRPr="0038729F" w:rsidRDefault="00E075E4" w:rsidP="0038729F">
      <w:pPr>
        <w:rPr>
          <w:rFonts w:ascii="Arial" w:hAnsi="Arial" w:cs="Arial"/>
        </w:rPr>
      </w:pPr>
      <w:r w:rsidRPr="00A424F3">
        <w:rPr>
          <w:rFonts w:ascii="Arial" w:hAnsi="Arial" w:cs="Arial"/>
        </w:rPr>
        <w:t>•</w:t>
      </w:r>
      <w:r w:rsidR="0038729F" w:rsidRPr="0038729F">
        <w:rPr>
          <w:rFonts w:ascii="Arial" w:hAnsi="Arial" w:cs="Arial"/>
        </w:rPr>
        <w:t>Personal development</w:t>
      </w:r>
    </w:p>
    <w:p w14:paraId="55F1E4E6" w14:textId="2B7A4E8F" w:rsidR="0038729F" w:rsidRPr="0038729F" w:rsidRDefault="00E075E4" w:rsidP="0038729F">
      <w:pPr>
        <w:rPr>
          <w:rFonts w:ascii="Arial" w:hAnsi="Arial" w:cs="Arial"/>
        </w:rPr>
      </w:pPr>
      <w:r w:rsidRPr="00A424F3">
        <w:rPr>
          <w:rFonts w:ascii="Arial" w:hAnsi="Arial" w:cs="Arial"/>
        </w:rPr>
        <w:t>•</w:t>
      </w:r>
      <w:r w:rsidR="0038729F" w:rsidRPr="0038729F">
        <w:rPr>
          <w:rFonts w:ascii="Arial" w:hAnsi="Arial" w:cs="Arial"/>
        </w:rPr>
        <w:t>Career guidance</w:t>
      </w:r>
    </w:p>
    <w:p w14:paraId="3BE7373A" w14:textId="2B02FFDF" w:rsidR="0038729F" w:rsidRPr="0038729F" w:rsidRDefault="00E075E4" w:rsidP="0038729F">
      <w:pPr>
        <w:rPr>
          <w:rFonts w:ascii="Arial" w:hAnsi="Arial" w:cs="Arial"/>
        </w:rPr>
      </w:pPr>
      <w:r w:rsidRPr="00A424F3">
        <w:rPr>
          <w:rFonts w:ascii="Arial" w:hAnsi="Arial" w:cs="Arial"/>
        </w:rPr>
        <w:t>•</w:t>
      </w:r>
      <w:r w:rsidR="0038729F" w:rsidRPr="0038729F">
        <w:rPr>
          <w:rFonts w:ascii="Arial" w:hAnsi="Arial" w:cs="Arial"/>
        </w:rPr>
        <w:t>Career choice</w:t>
      </w:r>
    </w:p>
    <w:p w14:paraId="303E8696" w14:textId="14E3F42E" w:rsidR="0038729F" w:rsidRPr="0038729F" w:rsidRDefault="0038729F" w:rsidP="0038729F">
      <w:pPr>
        <w:pStyle w:val="ListParagraph"/>
        <w:numPr>
          <w:ilvl w:val="0"/>
          <w:numId w:val="26"/>
        </w:numPr>
        <w:rPr>
          <w:rFonts w:ascii="Arial" w:hAnsi="Arial" w:cs="Arial"/>
        </w:rPr>
      </w:pPr>
      <w:r w:rsidRPr="0038729F">
        <w:rPr>
          <w:rFonts w:ascii="Arial" w:hAnsi="Arial" w:cs="Arial"/>
        </w:rPr>
        <w:t>Discipline selected</w:t>
      </w:r>
    </w:p>
    <w:p w14:paraId="69BDEC26" w14:textId="1B6A85E3" w:rsidR="0038729F" w:rsidRPr="0038729F" w:rsidRDefault="0038729F" w:rsidP="0038729F">
      <w:pPr>
        <w:pStyle w:val="ListParagraph"/>
        <w:numPr>
          <w:ilvl w:val="0"/>
          <w:numId w:val="26"/>
        </w:numPr>
        <w:rPr>
          <w:rFonts w:ascii="Arial" w:hAnsi="Arial" w:cs="Arial"/>
        </w:rPr>
      </w:pPr>
      <w:r w:rsidRPr="0038729F">
        <w:rPr>
          <w:rFonts w:ascii="Arial" w:hAnsi="Arial" w:cs="Arial"/>
        </w:rPr>
        <w:t>Academic vs. non-academic position</w:t>
      </w:r>
    </w:p>
    <w:p w14:paraId="36196ED5" w14:textId="12530EAB" w:rsidR="0038729F" w:rsidRPr="0038729F" w:rsidRDefault="00E075E4" w:rsidP="0038729F">
      <w:pPr>
        <w:rPr>
          <w:rFonts w:ascii="Arial" w:hAnsi="Arial" w:cs="Arial"/>
        </w:rPr>
      </w:pPr>
      <w:r w:rsidRPr="00A424F3">
        <w:rPr>
          <w:rFonts w:ascii="Arial" w:hAnsi="Arial" w:cs="Arial"/>
        </w:rPr>
        <w:t>•</w:t>
      </w:r>
      <w:r w:rsidR="0038729F" w:rsidRPr="0038729F">
        <w:rPr>
          <w:rFonts w:ascii="Arial" w:hAnsi="Arial" w:cs="Arial"/>
        </w:rPr>
        <w:t>Research productivity</w:t>
      </w:r>
    </w:p>
    <w:p w14:paraId="08BDB2FB" w14:textId="502A1607" w:rsidR="0038729F" w:rsidRPr="0038729F" w:rsidRDefault="00E075E4" w:rsidP="0038729F">
      <w:pPr>
        <w:rPr>
          <w:rFonts w:ascii="Arial" w:hAnsi="Arial" w:cs="Arial"/>
        </w:rPr>
      </w:pPr>
      <w:r w:rsidRPr="00A424F3">
        <w:rPr>
          <w:rFonts w:ascii="Arial" w:hAnsi="Arial" w:cs="Arial"/>
        </w:rPr>
        <w:t>•</w:t>
      </w:r>
      <w:r w:rsidR="0038729F" w:rsidRPr="0038729F">
        <w:rPr>
          <w:rFonts w:ascii="Arial" w:hAnsi="Arial" w:cs="Arial"/>
        </w:rPr>
        <w:t>Retention and recruitment</w:t>
      </w:r>
    </w:p>
    <w:p w14:paraId="7087F33D" w14:textId="3C03D0D8" w:rsidR="0038729F" w:rsidRPr="0038729F" w:rsidRDefault="0038729F" w:rsidP="0038729F">
      <w:pPr>
        <w:pStyle w:val="ListParagraph"/>
        <w:numPr>
          <w:ilvl w:val="0"/>
          <w:numId w:val="28"/>
        </w:numPr>
        <w:rPr>
          <w:rFonts w:ascii="Arial" w:hAnsi="Arial" w:cs="Arial"/>
        </w:rPr>
      </w:pPr>
      <w:r w:rsidRPr="0038729F">
        <w:rPr>
          <w:rFonts w:ascii="Arial" w:hAnsi="Arial" w:cs="Arial"/>
        </w:rPr>
        <w:t xml:space="preserve">JAMA 2006;296:1103-15; JGIM 2006 Dec;21(12):1222-9 </w:t>
      </w:r>
    </w:p>
    <w:p w14:paraId="5860A896" w14:textId="77777777" w:rsidR="0038729F" w:rsidRPr="0038729F" w:rsidRDefault="0038729F">
      <w:pPr>
        <w:rPr>
          <w:rFonts w:ascii="Arial" w:hAnsi="Arial" w:cs="Arial"/>
        </w:rPr>
      </w:pPr>
    </w:p>
    <w:p w14:paraId="6B97BDA2" w14:textId="618E99DD" w:rsidR="007B404D" w:rsidRDefault="007B404D">
      <w:pPr>
        <w:rPr>
          <w:rFonts w:ascii="Arial" w:hAnsi="Arial" w:cs="Arial"/>
          <w:b/>
        </w:rPr>
      </w:pPr>
      <w:r w:rsidRPr="008B0713">
        <w:rPr>
          <w:rFonts w:ascii="Arial" w:hAnsi="Arial" w:cs="Arial"/>
          <w:b/>
        </w:rPr>
        <w:t>Slide 16:</w:t>
      </w:r>
      <w:r w:rsidR="00E77836">
        <w:rPr>
          <w:rFonts w:ascii="Arial" w:hAnsi="Arial" w:cs="Arial"/>
          <w:b/>
        </w:rPr>
        <w:t xml:space="preserve"> Building capacity in KT</w:t>
      </w:r>
    </w:p>
    <w:p w14:paraId="3628FDC0" w14:textId="4A85D824" w:rsidR="00E77836" w:rsidRPr="00E77836" w:rsidRDefault="00E77836" w:rsidP="00E77836">
      <w:pPr>
        <w:rPr>
          <w:rFonts w:ascii="Arial" w:hAnsi="Arial" w:cs="Arial"/>
        </w:rPr>
      </w:pPr>
      <w:r w:rsidRPr="00E77836">
        <w:rPr>
          <w:rFonts w:ascii="Arial" w:hAnsi="Arial" w:cs="Arial"/>
        </w:rPr>
        <w:t>•Stream 2</w:t>
      </w:r>
    </w:p>
    <w:p w14:paraId="5D9B7E66" w14:textId="433F7136" w:rsidR="00E77836" w:rsidRPr="00E77836" w:rsidRDefault="00E77836" w:rsidP="00E77836">
      <w:pPr>
        <w:pStyle w:val="ListParagraph"/>
        <w:numPr>
          <w:ilvl w:val="0"/>
          <w:numId w:val="23"/>
        </w:numPr>
        <w:rPr>
          <w:rFonts w:ascii="Arial" w:hAnsi="Arial" w:cs="Arial"/>
        </w:rPr>
      </w:pPr>
      <w:r w:rsidRPr="00E77836">
        <w:rPr>
          <w:rFonts w:ascii="Arial" w:hAnsi="Arial" w:cs="Arial"/>
        </w:rPr>
        <w:t>KT Seminars</w:t>
      </w:r>
    </w:p>
    <w:p w14:paraId="314CEC1E" w14:textId="1EC2AD24" w:rsidR="00E77836" w:rsidRPr="00E77836" w:rsidRDefault="00E77836" w:rsidP="00E77836">
      <w:pPr>
        <w:pStyle w:val="ListParagraph"/>
        <w:numPr>
          <w:ilvl w:val="0"/>
          <w:numId w:val="23"/>
        </w:numPr>
        <w:rPr>
          <w:rFonts w:ascii="Arial" w:hAnsi="Arial" w:cs="Arial"/>
        </w:rPr>
      </w:pPr>
      <w:r w:rsidRPr="00E77836">
        <w:rPr>
          <w:rFonts w:ascii="Arial" w:hAnsi="Arial" w:cs="Arial"/>
        </w:rPr>
        <w:t>KT Courses</w:t>
      </w:r>
    </w:p>
    <w:p w14:paraId="6F0B054D" w14:textId="2A9BD07D" w:rsidR="00E77836" w:rsidRPr="00E77836" w:rsidRDefault="00E77836" w:rsidP="00E77836">
      <w:pPr>
        <w:pStyle w:val="ListParagraph"/>
        <w:numPr>
          <w:ilvl w:val="1"/>
          <w:numId w:val="23"/>
        </w:numPr>
        <w:rPr>
          <w:rFonts w:ascii="Arial" w:hAnsi="Arial" w:cs="Arial"/>
        </w:rPr>
      </w:pPr>
      <w:r w:rsidRPr="00E77836">
        <w:rPr>
          <w:rFonts w:ascii="Arial" w:hAnsi="Arial" w:cs="Arial"/>
        </w:rPr>
        <w:t>End of Grant KT</w:t>
      </w:r>
    </w:p>
    <w:p w14:paraId="14D742FA" w14:textId="52B36989" w:rsidR="00E77836" w:rsidRPr="00E77836" w:rsidRDefault="00E77836" w:rsidP="00E77836">
      <w:pPr>
        <w:pStyle w:val="ListParagraph"/>
        <w:numPr>
          <w:ilvl w:val="1"/>
          <w:numId w:val="23"/>
        </w:numPr>
        <w:rPr>
          <w:rFonts w:ascii="Arial" w:hAnsi="Arial" w:cs="Arial"/>
        </w:rPr>
      </w:pPr>
      <w:r w:rsidRPr="00E77836">
        <w:rPr>
          <w:rFonts w:ascii="Arial" w:hAnsi="Arial" w:cs="Arial"/>
        </w:rPr>
        <w:t>KT Basics/</w:t>
      </w:r>
      <w:proofErr w:type="spellStart"/>
      <w:r w:rsidRPr="00E77836">
        <w:rPr>
          <w:rFonts w:ascii="Arial" w:hAnsi="Arial" w:cs="Arial"/>
        </w:rPr>
        <w:t>Practising</w:t>
      </w:r>
      <w:proofErr w:type="spellEnd"/>
      <w:r w:rsidRPr="00E77836">
        <w:rPr>
          <w:rFonts w:ascii="Arial" w:hAnsi="Arial" w:cs="Arial"/>
        </w:rPr>
        <w:t xml:space="preserve"> KT</w:t>
      </w:r>
    </w:p>
    <w:p w14:paraId="78BC0EBE" w14:textId="77777777" w:rsidR="00E77836" w:rsidRPr="00E77836" w:rsidRDefault="00E77836">
      <w:pPr>
        <w:rPr>
          <w:rFonts w:ascii="Arial" w:hAnsi="Arial" w:cs="Arial"/>
        </w:rPr>
      </w:pPr>
    </w:p>
    <w:p w14:paraId="7F2FD01D" w14:textId="06498EB5" w:rsidR="007B404D" w:rsidRDefault="007B404D">
      <w:pPr>
        <w:rPr>
          <w:rFonts w:ascii="Arial" w:hAnsi="Arial" w:cs="Arial"/>
          <w:b/>
        </w:rPr>
      </w:pPr>
      <w:r w:rsidRPr="008B0713">
        <w:rPr>
          <w:rFonts w:ascii="Arial" w:hAnsi="Arial" w:cs="Arial"/>
          <w:b/>
        </w:rPr>
        <w:t>Slide 17:</w:t>
      </w:r>
      <w:r w:rsidR="00115E47">
        <w:rPr>
          <w:rFonts w:ascii="Arial" w:hAnsi="Arial" w:cs="Arial"/>
          <w:b/>
        </w:rPr>
        <w:t xml:space="preserve"> Building capacity in KT</w:t>
      </w:r>
    </w:p>
    <w:p w14:paraId="02DFCCBB" w14:textId="77777777" w:rsidR="00115E47" w:rsidRPr="00115E47" w:rsidRDefault="00115E47" w:rsidP="00115E47">
      <w:pPr>
        <w:rPr>
          <w:rFonts w:ascii="Arial" w:hAnsi="Arial" w:cs="Arial"/>
        </w:rPr>
      </w:pPr>
      <w:r w:rsidRPr="00115E47">
        <w:rPr>
          <w:rFonts w:ascii="Arial" w:hAnsi="Arial" w:cs="Arial"/>
        </w:rPr>
        <w:t>Stream 3</w:t>
      </w:r>
    </w:p>
    <w:p w14:paraId="5EBDE5E4" w14:textId="0BC1B8B8" w:rsidR="00115E47" w:rsidRPr="00115E47" w:rsidRDefault="00115E47" w:rsidP="00115E47">
      <w:pPr>
        <w:rPr>
          <w:rFonts w:ascii="Arial" w:hAnsi="Arial" w:cs="Arial"/>
        </w:rPr>
      </w:pPr>
      <w:r w:rsidRPr="00115E47">
        <w:rPr>
          <w:rFonts w:ascii="Arial" w:hAnsi="Arial" w:cs="Arial"/>
        </w:rPr>
        <w:t>•KT courses</w:t>
      </w:r>
    </w:p>
    <w:p w14:paraId="3629525E" w14:textId="0538F915" w:rsidR="00115E47" w:rsidRPr="00115E47" w:rsidRDefault="00115E47" w:rsidP="00115E47">
      <w:pPr>
        <w:pStyle w:val="ListParagraph"/>
        <w:numPr>
          <w:ilvl w:val="0"/>
          <w:numId w:val="23"/>
        </w:numPr>
        <w:rPr>
          <w:rFonts w:ascii="Arial" w:hAnsi="Arial" w:cs="Arial"/>
        </w:rPr>
      </w:pPr>
      <w:r w:rsidRPr="00115E47">
        <w:rPr>
          <w:rFonts w:ascii="Arial" w:hAnsi="Arial" w:cs="Arial"/>
        </w:rPr>
        <w:t>Introduction to KT</w:t>
      </w:r>
    </w:p>
    <w:p w14:paraId="6A49B843" w14:textId="70583105" w:rsidR="00115E47" w:rsidRPr="00115E47" w:rsidRDefault="00115E47" w:rsidP="00115E47">
      <w:pPr>
        <w:pStyle w:val="ListParagraph"/>
        <w:numPr>
          <w:ilvl w:val="0"/>
          <w:numId w:val="23"/>
        </w:numPr>
        <w:rPr>
          <w:rFonts w:ascii="Arial" w:hAnsi="Arial" w:cs="Arial"/>
        </w:rPr>
      </w:pPr>
      <w:r w:rsidRPr="00115E47">
        <w:rPr>
          <w:rFonts w:ascii="Arial" w:hAnsi="Arial" w:cs="Arial"/>
        </w:rPr>
        <w:t>KT basics/</w:t>
      </w:r>
      <w:proofErr w:type="spellStart"/>
      <w:r w:rsidRPr="00115E47">
        <w:rPr>
          <w:rFonts w:ascii="Arial" w:hAnsi="Arial" w:cs="Arial"/>
        </w:rPr>
        <w:t>Practising</w:t>
      </w:r>
      <w:proofErr w:type="spellEnd"/>
      <w:r w:rsidRPr="00115E47">
        <w:rPr>
          <w:rFonts w:ascii="Arial" w:hAnsi="Arial" w:cs="Arial"/>
        </w:rPr>
        <w:t xml:space="preserve"> KT</w:t>
      </w:r>
    </w:p>
    <w:p w14:paraId="507A59B8" w14:textId="77777777" w:rsidR="0020046A" w:rsidRDefault="0020046A">
      <w:pPr>
        <w:rPr>
          <w:rFonts w:ascii="Arial" w:hAnsi="Arial" w:cs="Arial"/>
          <w:b/>
        </w:rPr>
      </w:pPr>
    </w:p>
    <w:p w14:paraId="59563260" w14:textId="7BD23216" w:rsidR="007B404D" w:rsidRDefault="007B404D">
      <w:pPr>
        <w:rPr>
          <w:rFonts w:ascii="Arial" w:hAnsi="Arial" w:cs="Arial"/>
          <w:b/>
        </w:rPr>
      </w:pPr>
      <w:r w:rsidRPr="008B0713">
        <w:rPr>
          <w:rFonts w:ascii="Arial" w:hAnsi="Arial" w:cs="Arial"/>
          <w:b/>
        </w:rPr>
        <w:t>Slide 18:</w:t>
      </w:r>
      <w:r w:rsidR="003761AE">
        <w:rPr>
          <w:rFonts w:ascii="Arial" w:hAnsi="Arial" w:cs="Arial"/>
          <w:b/>
        </w:rPr>
        <w:t xml:space="preserve"> What are some of the key KT challenges that need to be addressed?</w:t>
      </w:r>
    </w:p>
    <w:p w14:paraId="4FB470F6" w14:textId="77777777" w:rsidR="0066027C" w:rsidRDefault="0066027C">
      <w:pPr>
        <w:rPr>
          <w:rFonts w:ascii="Arial" w:hAnsi="Arial" w:cs="Arial"/>
          <w:b/>
        </w:rPr>
      </w:pPr>
    </w:p>
    <w:p w14:paraId="138C77AA" w14:textId="471423E5" w:rsidR="007B404D" w:rsidRDefault="007B404D">
      <w:pPr>
        <w:rPr>
          <w:rFonts w:ascii="Arial" w:hAnsi="Arial" w:cs="Arial"/>
          <w:b/>
        </w:rPr>
      </w:pPr>
      <w:r w:rsidRPr="008B0713">
        <w:rPr>
          <w:rFonts w:ascii="Arial" w:hAnsi="Arial" w:cs="Arial"/>
          <w:b/>
        </w:rPr>
        <w:t>Slide 19:</w:t>
      </w:r>
      <w:r w:rsidR="003761AE">
        <w:rPr>
          <w:rFonts w:ascii="Arial" w:hAnsi="Arial" w:cs="Arial"/>
          <w:b/>
        </w:rPr>
        <w:t xml:space="preserve"> 1. Lack of knowledge isn’t the most significant barrier</w:t>
      </w:r>
    </w:p>
    <w:p w14:paraId="06226E56" w14:textId="21D823F1" w:rsidR="003761AE" w:rsidRPr="003761AE" w:rsidRDefault="003761AE" w:rsidP="003761AE">
      <w:pPr>
        <w:rPr>
          <w:rFonts w:ascii="Arial" w:hAnsi="Arial" w:cs="Arial"/>
        </w:rPr>
      </w:pPr>
      <w:r w:rsidRPr="003761AE">
        <w:rPr>
          <w:rFonts w:ascii="Arial" w:hAnsi="Arial" w:cs="Arial"/>
        </w:rPr>
        <w:t>•You see a 74 year old woman (Mrs. M) in clinic with a history of</w:t>
      </w:r>
    </w:p>
    <w:p w14:paraId="71EF9F73" w14:textId="3AF6B9B2" w:rsidR="003761AE" w:rsidRPr="003761AE" w:rsidRDefault="003761AE" w:rsidP="003761AE">
      <w:pPr>
        <w:pStyle w:val="ListParagraph"/>
        <w:numPr>
          <w:ilvl w:val="0"/>
          <w:numId w:val="23"/>
        </w:numPr>
        <w:rPr>
          <w:rFonts w:ascii="Arial" w:hAnsi="Arial" w:cs="Arial"/>
        </w:rPr>
      </w:pPr>
      <w:r w:rsidRPr="003761AE">
        <w:rPr>
          <w:rFonts w:ascii="Arial" w:hAnsi="Arial" w:cs="Arial"/>
        </w:rPr>
        <w:t>Osteoporosis and history of vertebral fracture</w:t>
      </w:r>
    </w:p>
    <w:p w14:paraId="10C4E030" w14:textId="344596DA" w:rsidR="003761AE" w:rsidRPr="003761AE" w:rsidRDefault="003761AE" w:rsidP="003761AE">
      <w:pPr>
        <w:pStyle w:val="ListParagraph"/>
        <w:numPr>
          <w:ilvl w:val="0"/>
          <w:numId w:val="23"/>
        </w:numPr>
        <w:rPr>
          <w:rFonts w:ascii="Arial" w:hAnsi="Arial" w:cs="Arial"/>
        </w:rPr>
      </w:pPr>
      <w:r w:rsidRPr="003761AE">
        <w:rPr>
          <w:rFonts w:ascii="Arial" w:hAnsi="Arial" w:cs="Arial"/>
        </w:rPr>
        <w:t>Type 2 diabetes (on oral agents)</w:t>
      </w:r>
    </w:p>
    <w:p w14:paraId="6BD94A02" w14:textId="23E620E5" w:rsidR="003761AE" w:rsidRPr="003761AE" w:rsidRDefault="003761AE" w:rsidP="003761AE">
      <w:pPr>
        <w:pStyle w:val="ListParagraph"/>
        <w:numPr>
          <w:ilvl w:val="0"/>
          <w:numId w:val="23"/>
        </w:numPr>
        <w:rPr>
          <w:rFonts w:ascii="Arial" w:hAnsi="Arial" w:cs="Arial"/>
        </w:rPr>
      </w:pPr>
      <w:r w:rsidRPr="003761AE">
        <w:rPr>
          <w:rFonts w:ascii="Arial" w:hAnsi="Arial" w:cs="Arial"/>
        </w:rPr>
        <w:t>Hypertension</w:t>
      </w:r>
    </w:p>
    <w:p w14:paraId="09F90DE4" w14:textId="2779E57D" w:rsidR="003761AE" w:rsidRPr="003761AE" w:rsidRDefault="003761AE" w:rsidP="003761AE">
      <w:pPr>
        <w:pStyle w:val="ListParagraph"/>
        <w:numPr>
          <w:ilvl w:val="0"/>
          <w:numId w:val="23"/>
        </w:numPr>
        <w:rPr>
          <w:rFonts w:ascii="Arial" w:hAnsi="Arial" w:cs="Arial"/>
        </w:rPr>
      </w:pPr>
      <w:r w:rsidRPr="003761AE">
        <w:rPr>
          <w:rFonts w:ascii="Arial" w:hAnsi="Arial" w:cs="Arial"/>
        </w:rPr>
        <w:t xml:space="preserve">Chronic kidney disease </w:t>
      </w:r>
    </w:p>
    <w:p w14:paraId="32968B51" w14:textId="7BE797C2" w:rsidR="003761AE" w:rsidRPr="003761AE" w:rsidRDefault="003761AE" w:rsidP="003761AE">
      <w:pPr>
        <w:rPr>
          <w:rFonts w:ascii="Arial" w:hAnsi="Arial" w:cs="Arial"/>
        </w:rPr>
      </w:pPr>
      <w:r w:rsidRPr="003761AE">
        <w:rPr>
          <w:rFonts w:ascii="Arial" w:hAnsi="Arial" w:cs="Arial"/>
        </w:rPr>
        <w:t xml:space="preserve">•How much time is required to implement recommendations from relevant chronic disease practice guidelines? </w:t>
      </w:r>
    </w:p>
    <w:p w14:paraId="49D87B4A" w14:textId="77777777" w:rsidR="003761AE" w:rsidRPr="003761AE" w:rsidRDefault="003761AE">
      <w:pPr>
        <w:rPr>
          <w:rFonts w:ascii="Arial" w:hAnsi="Arial" w:cs="Arial"/>
        </w:rPr>
      </w:pPr>
    </w:p>
    <w:p w14:paraId="10FEA51F" w14:textId="4175CC4D" w:rsidR="003761AE" w:rsidRDefault="00C82CDE">
      <w:pPr>
        <w:rPr>
          <w:rFonts w:ascii="Arial" w:hAnsi="Arial" w:cs="Arial"/>
          <w:b/>
        </w:rPr>
      </w:pPr>
      <w:r>
        <w:rPr>
          <w:rFonts w:ascii="Arial" w:hAnsi="Arial" w:cs="Arial"/>
          <w:b/>
        </w:rPr>
        <w:t>Slide 20:</w:t>
      </w:r>
      <w:r w:rsidR="003104CB">
        <w:rPr>
          <w:rFonts w:ascii="Arial" w:hAnsi="Arial" w:cs="Arial"/>
          <w:b/>
        </w:rPr>
        <w:t xml:space="preserve"> Applying relevant practice guidelines</w:t>
      </w:r>
    </w:p>
    <w:p w14:paraId="1F795760" w14:textId="6F9ED8FD" w:rsidR="003104CB" w:rsidRDefault="002134D0">
      <w:pPr>
        <w:rPr>
          <w:rFonts w:ascii="Arial" w:hAnsi="Arial" w:cs="Arial"/>
        </w:rPr>
      </w:pPr>
      <w:r>
        <w:rPr>
          <w:rFonts w:ascii="Arial" w:hAnsi="Arial" w:cs="Arial"/>
        </w:rPr>
        <w:t>Table</w:t>
      </w:r>
      <w:r w:rsidR="003104CB">
        <w:rPr>
          <w:rFonts w:ascii="Arial" w:hAnsi="Arial" w:cs="Arial"/>
        </w:rPr>
        <w:t xml:space="preserve"> showing Patient Sub-Group</w:t>
      </w:r>
      <w:r w:rsidR="0058430E">
        <w:rPr>
          <w:rFonts w:ascii="Arial" w:hAnsi="Arial" w:cs="Arial"/>
        </w:rPr>
        <w:t xml:space="preserve"> and </w:t>
      </w:r>
      <w:r w:rsidR="00E62216">
        <w:rPr>
          <w:rFonts w:ascii="Arial" w:hAnsi="Arial" w:cs="Arial"/>
        </w:rPr>
        <w:t>the time required/</w:t>
      </w:r>
      <w:proofErr w:type="spellStart"/>
      <w:r>
        <w:rPr>
          <w:rFonts w:ascii="Arial" w:hAnsi="Arial" w:cs="Arial"/>
        </w:rPr>
        <w:t>pt</w:t>
      </w:r>
      <w:proofErr w:type="spellEnd"/>
      <w:r>
        <w:rPr>
          <w:rFonts w:ascii="Arial" w:hAnsi="Arial" w:cs="Arial"/>
        </w:rPr>
        <w:t xml:space="preserve"> (</w:t>
      </w:r>
      <w:r w:rsidR="0058430E">
        <w:rPr>
          <w:rFonts w:ascii="Arial" w:hAnsi="Arial" w:cs="Arial"/>
        </w:rPr>
        <w:t>minutes), patients, and total time (hours) for each sub-group.</w:t>
      </w:r>
    </w:p>
    <w:p w14:paraId="453FEF0E" w14:textId="52CEF3C1" w:rsidR="0058430E" w:rsidRDefault="0058430E">
      <w:pPr>
        <w:rPr>
          <w:rFonts w:ascii="Arial" w:hAnsi="Arial" w:cs="Arial"/>
        </w:rPr>
      </w:pPr>
      <w:r>
        <w:rPr>
          <w:rFonts w:ascii="Arial" w:hAnsi="Arial" w:cs="Arial"/>
        </w:rPr>
        <w:t>Any patient aged 55 and over, 61, 160(100%), 162.67</w:t>
      </w:r>
    </w:p>
    <w:p w14:paraId="40C2BD15" w14:textId="4A99B954" w:rsidR="0058430E" w:rsidRDefault="0058430E">
      <w:pPr>
        <w:rPr>
          <w:rFonts w:ascii="Arial" w:hAnsi="Arial" w:cs="Arial"/>
        </w:rPr>
      </w:pPr>
      <w:r>
        <w:rPr>
          <w:rFonts w:ascii="Arial" w:hAnsi="Arial" w:cs="Arial"/>
        </w:rPr>
        <w:t>Male diabetic, 8.3, 23(14%), 3.18</w:t>
      </w:r>
    </w:p>
    <w:p w14:paraId="73401DDB" w14:textId="2849689E" w:rsidR="0058430E" w:rsidRDefault="0058430E">
      <w:pPr>
        <w:rPr>
          <w:rFonts w:ascii="Arial" w:hAnsi="Arial" w:cs="Arial"/>
        </w:rPr>
      </w:pPr>
      <w:r>
        <w:rPr>
          <w:rFonts w:ascii="Arial" w:hAnsi="Arial" w:cs="Arial"/>
        </w:rPr>
        <w:t>Diabetics with neuropathy, 6.9, 4(3%), 0.46</w:t>
      </w:r>
    </w:p>
    <w:p w14:paraId="3AF6FACC" w14:textId="022ACE68" w:rsidR="0058430E" w:rsidRDefault="0058430E">
      <w:pPr>
        <w:rPr>
          <w:rFonts w:ascii="Arial" w:hAnsi="Arial" w:cs="Arial"/>
        </w:rPr>
      </w:pPr>
      <w:r>
        <w:rPr>
          <w:rFonts w:ascii="Arial" w:hAnsi="Arial" w:cs="Arial"/>
        </w:rPr>
        <w:t>Diabetics with blood pressure greater than 130/80, 5.1, 12(8%), 1.02</w:t>
      </w:r>
    </w:p>
    <w:p w14:paraId="28AEBFDD" w14:textId="266298AB" w:rsidR="0058430E" w:rsidRDefault="0058430E">
      <w:pPr>
        <w:rPr>
          <w:rFonts w:ascii="Arial" w:hAnsi="Arial" w:cs="Arial"/>
        </w:rPr>
      </w:pPr>
      <w:r>
        <w:rPr>
          <w:rFonts w:ascii="Arial" w:hAnsi="Arial" w:cs="Arial"/>
        </w:rPr>
        <w:t>Diabetics with left ventricular dysfunction, 5.1, 3(2%), 0.26</w:t>
      </w:r>
    </w:p>
    <w:p w14:paraId="686A0F20" w14:textId="5E7AB72E" w:rsidR="0058430E" w:rsidRDefault="0058430E">
      <w:pPr>
        <w:rPr>
          <w:rFonts w:ascii="Arial" w:hAnsi="Arial" w:cs="Arial"/>
        </w:rPr>
      </w:pPr>
      <w:r>
        <w:rPr>
          <w:rFonts w:ascii="Arial" w:hAnsi="Arial" w:cs="Arial"/>
        </w:rPr>
        <w:t>Diabetics with an estimated glomerular filtration rate less than 60, 1.1, 12(8%), 0.22</w:t>
      </w:r>
    </w:p>
    <w:p w14:paraId="42D7739A" w14:textId="33692031" w:rsidR="0058430E" w:rsidRDefault="0058430E">
      <w:pPr>
        <w:rPr>
          <w:rFonts w:ascii="Arial" w:hAnsi="Arial" w:cs="Arial"/>
        </w:rPr>
      </w:pPr>
      <w:r>
        <w:rPr>
          <w:rFonts w:ascii="Arial" w:hAnsi="Arial" w:cs="Arial"/>
        </w:rPr>
        <w:t>Type 1 diabetics, 24, 1(1%), 0.40</w:t>
      </w:r>
    </w:p>
    <w:p w14:paraId="24D2508E" w14:textId="4AF9B19A" w:rsidR="0058430E" w:rsidRDefault="0058430E">
      <w:pPr>
        <w:rPr>
          <w:rFonts w:ascii="Arial" w:hAnsi="Arial" w:cs="Arial"/>
        </w:rPr>
      </w:pPr>
      <w:r>
        <w:rPr>
          <w:rFonts w:ascii="Arial" w:hAnsi="Arial" w:cs="Arial"/>
        </w:rPr>
        <w:t>Type 2 diabetics, 25, 44(28%), 18.33</w:t>
      </w:r>
    </w:p>
    <w:p w14:paraId="6304D203" w14:textId="13B704D2" w:rsidR="0058430E" w:rsidRDefault="0058430E">
      <w:pPr>
        <w:rPr>
          <w:rFonts w:ascii="Arial" w:hAnsi="Arial" w:cs="Arial"/>
        </w:rPr>
      </w:pPr>
      <w:r>
        <w:rPr>
          <w:rFonts w:ascii="Arial" w:hAnsi="Arial" w:cs="Arial"/>
        </w:rPr>
        <w:t>Diabetics on only a single oral anti-hyperglycemic, 10, 19(12%), 3.17</w:t>
      </w:r>
    </w:p>
    <w:p w14:paraId="681F4C17" w14:textId="1E3DC85E" w:rsidR="0058430E" w:rsidRDefault="0058430E">
      <w:pPr>
        <w:rPr>
          <w:rFonts w:ascii="Arial" w:hAnsi="Arial" w:cs="Arial"/>
        </w:rPr>
      </w:pPr>
      <w:r>
        <w:rPr>
          <w:rFonts w:ascii="Arial" w:hAnsi="Arial" w:cs="Arial"/>
        </w:rPr>
        <w:t>Diabetics on 2 or more anti-</w:t>
      </w:r>
      <w:proofErr w:type="spellStart"/>
      <w:r>
        <w:rPr>
          <w:rFonts w:ascii="Arial" w:hAnsi="Arial" w:cs="Arial"/>
        </w:rPr>
        <w:t>hyperglycemics</w:t>
      </w:r>
      <w:proofErr w:type="spellEnd"/>
      <w:r>
        <w:rPr>
          <w:rFonts w:ascii="Arial" w:hAnsi="Arial" w:cs="Arial"/>
        </w:rPr>
        <w:t>, 5, 13(8%), 1.08</w:t>
      </w:r>
    </w:p>
    <w:p w14:paraId="0D19B254" w14:textId="77777777" w:rsidR="003104CB" w:rsidRPr="003104CB" w:rsidRDefault="003104CB">
      <w:pPr>
        <w:rPr>
          <w:rFonts w:ascii="Arial" w:hAnsi="Arial" w:cs="Arial"/>
        </w:rPr>
      </w:pPr>
    </w:p>
    <w:p w14:paraId="01F752DA" w14:textId="1A7F6F9E" w:rsidR="00C82CDE" w:rsidRDefault="00C82CDE">
      <w:pPr>
        <w:rPr>
          <w:rFonts w:ascii="Arial" w:hAnsi="Arial" w:cs="Arial"/>
          <w:b/>
        </w:rPr>
      </w:pPr>
      <w:r>
        <w:rPr>
          <w:rFonts w:ascii="Arial" w:hAnsi="Arial" w:cs="Arial"/>
          <w:b/>
        </w:rPr>
        <w:t>Slide 21:</w:t>
      </w:r>
      <w:r w:rsidR="003104CB">
        <w:rPr>
          <w:rFonts w:ascii="Arial" w:hAnsi="Arial" w:cs="Arial"/>
          <w:b/>
        </w:rPr>
        <w:t xml:space="preserve"> Applying relevant practice guidelines</w:t>
      </w:r>
    </w:p>
    <w:p w14:paraId="03B2D429" w14:textId="5B985AA5" w:rsidR="00E62216" w:rsidRDefault="002134D0">
      <w:pPr>
        <w:rPr>
          <w:rFonts w:ascii="Arial" w:hAnsi="Arial" w:cs="Arial"/>
        </w:rPr>
      </w:pPr>
      <w:r>
        <w:rPr>
          <w:rFonts w:ascii="Arial" w:hAnsi="Arial" w:cs="Arial"/>
        </w:rPr>
        <w:t>Table</w:t>
      </w:r>
      <w:r w:rsidR="003104CB">
        <w:rPr>
          <w:rFonts w:ascii="Arial" w:hAnsi="Arial" w:cs="Arial"/>
        </w:rPr>
        <w:t xml:space="preserve"> showing Patient Sub Group</w:t>
      </w:r>
      <w:r w:rsidR="00931F4E">
        <w:rPr>
          <w:rFonts w:ascii="Arial" w:hAnsi="Arial" w:cs="Arial"/>
        </w:rPr>
        <w:t xml:space="preserve"> </w:t>
      </w:r>
      <w:r w:rsidR="00E62216">
        <w:rPr>
          <w:rFonts w:ascii="Arial" w:hAnsi="Arial" w:cs="Arial"/>
        </w:rPr>
        <w:t>and the time required/</w:t>
      </w:r>
      <w:proofErr w:type="spellStart"/>
      <w:proofErr w:type="gramStart"/>
      <w:r w:rsidR="00E62216">
        <w:rPr>
          <w:rFonts w:ascii="Arial" w:hAnsi="Arial" w:cs="Arial"/>
        </w:rPr>
        <w:t>pt</w:t>
      </w:r>
      <w:proofErr w:type="spellEnd"/>
      <w:r w:rsidR="00E62216">
        <w:rPr>
          <w:rFonts w:ascii="Arial" w:hAnsi="Arial" w:cs="Arial"/>
        </w:rPr>
        <w:t>(</w:t>
      </w:r>
      <w:proofErr w:type="gramEnd"/>
      <w:r w:rsidR="00E62216">
        <w:rPr>
          <w:rFonts w:ascii="Arial" w:hAnsi="Arial" w:cs="Arial"/>
        </w:rPr>
        <w:t>minutes), Patients (n=160), and total time for each sub-group.</w:t>
      </w:r>
    </w:p>
    <w:p w14:paraId="6EC0A31B" w14:textId="7D456BF2" w:rsidR="003104CB" w:rsidRDefault="00E62216">
      <w:pPr>
        <w:rPr>
          <w:rFonts w:ascii="Arial" w:hAnsi="Arial" w:cs="Arial"/>
        </w:rPr>
      </w:pPr>
      <w:r>
        <w:rPr>
          <w:rFonts w:ascii="Arial" w:hAnsi="Arial" w:cs="Arial"/>
        </w:rPr>
        <w:t>Osteoporotic patients, 14, 25(16%), 5.83</w:t>
      </w:r>
    </w:p>
    <w:p w14:paraId="3DF097D0" w14:textId="6E0897C7" w:rsidR="00E62216" w:rsidRDefault="00E62216">
      <w:pPr>
        <w:rPr>
          <w:rFonts w:ascii="Arial" w:hAnsi="Arial" w:cs="Arial"/>
        </w:rPr>
      </w:pPr>
      <w:r>
        <w:rPr>
          <w:rFonts w:ascii="Arial" w:hAnsi="Arial" w:cs="Arial"/>
        </w:rPr>
        <w:t>Patients who have had a bone mineral density test, 1.3, 78(49%), 1.69</w:t>
      </w:r>
    </w:p>
    <w:p w14:paraId="51FCE5CC" w14:textId="35C9A449" w:rsidR="00E62216" w:rsidRDefault="00E62216">
      <w:pPr>
        <w:rPr>
          <w:rFonts w:ascii="Arial" w:hAnsi="Arial" w:cs="Arial"/>
        </w:rPr>
      </w:pPr>
      <w:r>
        <w:rPr>
          <w:rFonts w:ascii="Arial" w:hAnsi="Arial" w:cs="Arial"/>
        </w:rPr>
        <w:t>Patients with a vertebral fracture, 7.9, 0(0%), 0.00</w:t>
      </w:r>
    </w:p>
    <w:p w14:paraId="5AB390DF" w14:textId="714E9383" w:rsidR="00E62216" w:rsidRDefault="00E62216">
      <w:pPr>
        <w:rPr>
          <w:rFonts w:ascii="Arial" w:hAnsi="Arial" w:cs="Arial"/>
        </w:rPr>
      </w:pPr>
      <w:r>
        <w:rPr>
          <w:rFonts w:ascii="Arial" w:hAnsi="Arial" w:cs="Arial"/>
        </w:rPr>
        <w:t>Hypertensive patients with a urine albumin: creatinine ratio&gt;30, 6.5, 2(1%), 0.22</w:t>
      </w:r>
    </w:p>
    <w:p w14:paraId="13B0663B" w14:textId="3EBF384C" w:rsidR="00E62216" w:rsidRDefault="00B02F97">
      <w:pPr>
        <w:rPr>
          <w:rFonts w:ascii="Arial" w:hAnsi="Arial" w:cs="Arial"/>
        </w:rPr>
      </w:pPr>
      <w:r>
        <w:rPr>
          <w:rFonts w:ascii="Arial" w:hAnsi="Arial" w:cs="Arial"/>
        </w:rPr>
        <w:t>Patients with chronic kidney disease of any stage, 18, 22(14%), 6.60</w:t>
      </w:r>
    </w:p>
    <w:p w14:paraId="2745E06B" w14:textId="48DF83C4" w:rsidR="00B02F97" w:rsidRDefault="00B02F97">
      <w:pPr>
        <w:rPr>
          <w:rFonts w:ascii="Arial" w:hAnsi="Arial" w:cs="Arial"/>
        </w:rPr>
      </w:pPr>
      <w:r>
        <w:rPr>
          <w:rFonts w:ascii="Arial" w:hAnsi="Arial" w:cs="Arial"/>
        </w:rPr>
        <w:t>Patients with chronic kidney disease stage 3-5, 0.89, 14(9%), 0.21</w:t>
      </w:r>
    </w:p>
    <w:p w14:paraId="7D966926" w14:textId="77777777" w:rsidR="002134D0" w:rsidRDefault="002134D0">
      <w:pPr>
        <w:rPr>
          <w:rFonts w:ascii="Arial" w:hAnsi="Arial" w:cs="Arial"/>
        </w:rPr>
      </w:pPr>
    </w:p>
    <w:p w14:paraId="0E4CDC1B" w14:textId="35A4B0AE" w:rsidR="002134D0" w:rsidRDefault="002134D0">
      <w:pPr>
        <w:rPr>
          <w:rFonts w:ascii="Arial" w:hAnsi="Arial" w:cs="Arial"/>
        </w:rPr>
      </w:pPr>
      <w:r>
        <w:rPr>
          <w:rFonts w:ascii="Arial" w:hAnsi="Arial" w:cs="Arial"/>
        </w:rPr>
        <w:t>Copyright owned by author.</w:t>
      </w:r>
    </w:p>
    <w:p w14:paraId="28EE1083" w14:textId="77777777" w:rsidR="00931F4E" w:rsidRPr="003104CB" w:rsidRDefault="00931F4E">
      <w:pPr>
        <w:rPr>
          <w:rFonts w:ascii="Arial" w:hAnsi="Arial" w:cs="Arial"/>
        </w:rPr>
      </w:pPr>
    </w:p>
    <w:p w14:paraId="090CAC1E" w14:textId="6BC59EA7" w:rsidR="00C82CDE" w:rsidRDefault="00C82CDE">
      <w:pPr>
        <w:rPr>
          <w:rFonts w:ascii="Arial" w:hAnsi="Arial" w:cs="Arial"/>
          <w:b/>
        </w:rPr>
      </w:pPr>
      <w:r>
        <w:rPr>
          <w:rFonts w:ascii="Arial" w:hAnsi="Arial" w:cs="Arial"/>
          <w:b/>
        </w:rPr>
        <w:t>Slide 22:</w:t>
      </w:r>
      <w:r w:rsidR="00931F4E">
        <w:rPr>
          <w:rFonts w:ascii="Arial" w:hAnsi="Arial" w:cs="Arial"/>
          <w:b/>
        </w:rPr>
        <w:t xml:space="preserve"> Mrs. M</w:t>
      </w:r>
    </w:p>
    <w:p w14:paraId="42EDD870" w14:textId="167E6D1B" w:rsidR="00931F4E" w:rsidRPr="00931F4E" w:rsidRDefault="00931F4E" w:rsidP="00931F4E">
      <w:pPr>
        <w:rPr>
          <w:rFonts w:ascii="Arial" w:hAnsi="Arial" w:cs="Arial"/>
        </w:rPr>
      </w:pPr>
      <w:r w:rsidRPr="00931F4E">
        <w:rPr>
          <w:rFonts w:ascii="Arial" w:hAnsi="Arial" w:cs="Arial"/>
        </w:rPr>
        <w:t>•How much time is required annually to manage these conditions (assuming no complications arise)?</w:t>
      </w:r>
    </w:p>
    <w:p w14:paraId="39950852" w14:textId="569A8751" w:rsidR="00931F4E" w:rsidRPr="00931F4E" w:rsidRDefault="00931F4E" w:rsidP="00931F4E">
      <w:pPr>
        <w:pStyle w:val="ListParagraph"/>
        <w:numPr>
          <w:ilvl w:val="0"/>
          <w:numId w:val="23"/>
        </w:numPr>
        <w:rPr>
          <w:rFonts w:ascii="Arial" w:hAnsi="Arial" w:cs="Arial"/>
        </w:rPr>
      </w:pPr>
      <w:r w:rsidRPr="00931F4E">
        <w:rPr>
          <w:rFonts w:ascii="Arial" w:hAnsi="Arial" w:cs="Arial"/>
        </w:rPr>
        <w:t>129.2 minutes/year</w:t>
      </w:r>
    </w:p>
    <w:p w14:paraId="256CFE25" w14:textId="5F2D4CED" w:rsidR="00931F4E" w:rsidRPr="00931F4E" w:rsidRDefault="00931F4E" w:rsidP="00931F4E">
      <w:pPr>
        <w:pStyle w:val="ListParagraph"/>
        <w:numPr>
          <w:ilvl w:val="0"/>
          <w:numId w:val="23"/>
        </w:numPr>
        <w:rPr>
          <w:rFonts w:ascii="Arial" w:hAnsi="Arial" w:cs="Arial"/>
        </w:rPr>
      </w:pPr>
      <w:r w:rsidRPr="00931F4E">
        <w:rPr>
          <w:rFonts w:ascii="Arial" w:hAnsi="Arial" w:cs="Arial"/>
        </w:rPr>
        <w:t>Mrs. M is only seen for 36 minutes/year</w:t>
      </w:r>
    </w:p>
    <w:p w14:paraId="615E8870" w14:textId="51C63FB7" w:rsidR="00931F4E" w:rsidRPr="00931F4E" w:rsidRDefault="00931F4E" w:rsidP="00931F4E">
      <w:pPr>
        <w:ind w:firstLine="720"/>
        <w:rPr>
          <w:rFonts w:ascii="Arial" w:hAnsi="Arial" w:cs="Arial"/>
        </w:rPr>
      </w:pPr>
      <w:r w:rsidRPr="00931F4E">
        <w:rPr>
          <w:rFonts w:ascii="Arial" w:hAnsi="Arial" w:cs="Arial"/>
        </w:rPr>
        <w:t>•</w:t>
      </w:r>
      <w:r>
        <w:rPr>
          <w:rFonts w:ascii="Arial" w:hAnsi="Arial" w:cs="Arial"/>
        </w:rPr>
        <w:t xml:space="preserve"> </w:t>
      </w:r>
      <w:r w:rsidRPr="00931F4E">
        <w:rPr>
          <w:rFonts w:ascii="Arial" w:hAnsi="Arial" w:cs="Arial"/>
        </w:rPr>
        <w:t>Kerr J et al. CGS 2013</w:t>
      </w:r>
    </w:p>
    <w:p w14:paraId="4E2D5DEF" w14:textId="77777777" w:rsidR="00931F4E" w:rsidRPr="00931F4E" w:rsidRDefault="00931F4E">
      <w:pPr>
        <w:rPr>
          <w:rFonts w:ascii="Arial" w:hAnsi="Arial" w:cs="Arial"/>
        </w:rPr>
      </w:pPr>
    </w:p>
    <w:p w14:paraId="475912B4" w14:textId="0D917CB3" w:rsidR="00C82CDE" w:rsidRDefault="00C82CDE">
      <w:pPr>
        <w:rPr>
          <w:rFonts w:ascii="Arial" w:hAnsi="Arial" w:cs="Arial"/>
          <w:b/>
        </w:rPr>
      </w:pPr>
      <w:r>
        <w:rPr>
          <w:rFonts w:ascii="Arial" w:hAnsi="Arial" w:cs="Arial"/>
          <w:b/>
        </w:rPr>
        <w:t>Slide 23:</w:t>
      </w:r>
      <w:r w:rsidR="0050396E">
        <w:rPr>
          <w:rFonts w:ascii="Arial" w:hAnsi="Arial" w:cs="Arial"/>
          <w:b/>
        </w:rPr>
        <w:t xml:space="preserve"> Clinical Literature * Thanks to Paul </w:t>
      </w:r>
      <w:proofErr w:type="spellStart"/>
      <w:r w:rsidR="0050396E">
        <w:rPr>
          <w:rFonts w:ascii="Arial" w:hAnsi="Arial" w:cs="Arial"/>
          <w:b/>
        </w:rPr>
        <w:t>Glasziou</w:t>
      </w:r>
      <w:proofErr w:type="spellEnd"/>
      <w:r w:rsidR="0050396E">
        <w:rPr>
          <w:rFonts w:ascii="Arial" w:hAnsi="Arial" w:cs="Arial"/>
          <w:b/>
        </w:rPr>
        <w:t>!</w:t>
      </w:r>
    </w:p>
    <w:p w14:paraId="65A1C589" w14:textId="6BD0CE4F" w:rsidR="002134D0" w:rsidRDefault="0050396E">
      <w:pPr>
        <w:rPr>
          <w:rFonts w:ascii="Arial" w:hAnsi="Arial" w:cs="Arial"/>
        </w:rPr>
      </w:pPr>
      <w:r>
        <w:rPr>
          <w:rFonts w:ascii="Arial" w:hAnsi="Arial" w:cs="Arial"/>
        </w:rPr>
        <w:t xml:space="preserve">A </w:t>
      </w:r>
      <w:r w:rsidR="002134D0">
        <w:rPr>
          <w:rFonts w:ascii="Arial" w:hAnsi="Arial" w:cs="Arial"/>
        </w:rPr>
        <w:t xml:space="preserve">vertical bar </w:t>
      </w:r>
      <w:r>
        <w:rPr>
          <w:rFonts w:ascii="Arial" w:hAnsi="Arial" w:cs="Arial"/>
        </w:rPr>
        <w:t xml:space="preserve">graph showing the Number of </w:t>
      </w:r>
      <w:proofErr w:type="spellStart"/>
      <w:r>
        <w:rPr>
          <w:rFonts w:ascii="Arial" w:hAnsi="Arial" w:cs="Arial"/>
        </w:rPr>
        <w:t>Randomised</w:t>
      </w:r>
      <w:proofErr w:type="spellEnd"/>
      <w:r>
        <w:rPr>
          <w:rFonts w:ascii="Arial" w:hAnsi="Arial" w:cs="Arial"/>
        </w:rPr>
        <w:t xml:space="preserve"> Trials</w:t>
      </w:r>
      <w:r w:rsidR="002134D0">
        <w:rPr>
          <w:rFonts w:ascii="Arial" w:hAnsi="Arial" w:cs="Arial"/>
        </w:rPr>
        <w:t xml:space="preserve"> from 1950 to 2000</w:t>
      </w:r>
    </w:p>
    <w:p w14:paraId="70CD4308" w14:textId="20943330" w:rsidR="0050396E" w:rsidRDefault="002134D0">
      <w:pPr>
        <w:rPr>
          <w:rFonts w:ascii="Arial" w:hAnsi="Arial" w:cs="Arial"/>
        </w:rPr>
      </w:pPr>
      <w:r>
        <w:rPr>
          <w:rFonts w:ascii="Arial" w:hAnsi="Arial" w:cs="Arial"/>
        </w:rPr>
        <w:t>In 1950 there were approximately 75 medical articles per day</w:t>
      </w:r>
    </w:p>
    <w:p w14:paraId="760B8FB7" w14:textId="6C49496E" w:rsidR="002134D0" w:rsidRDefault="002134D0">
      <w:pPr>
        <w:rPr>
          <w:rFonts w:ascii="Arial" w:hAnsi="Arial" w:cs="Arial"/>
        </w:rPr>
      </w:pPr>
      <w:r>
        <w:rPr>
          <w:rFonts w:ascii="Arial" w:hAnsi="Arial" w:cs="Arial"/>
        </w:rPr>
        <w:lastRenderedPageBreak/>
        <w:t>In 1980 there were approximately 1,500 articles per day</w:t>
      </w:r>
    </w:p>
    <w:p w14:paraId="629E41A5" w14:textId="33619B14" w:rsidR="002134D0" w:rsidRDefault="002134D0">
      <w:pPr>
        <w:rPr>
          <w:rFonts w:ascii="Arial" w:hAnsi="Arial" w:cs="Arial"/>
        </w:rPr>
      </w:pPr>
      <w:r>
        <w:rPr>
          <w:rFonts w:ascii="Arial" w:hAnsi="Arial" w:cs="Arial"/>
        </w:rPr>
        <w:t>In 2000</w:t>
      </w:r>
      <w:r w:rsidRPr="002134D0">
        <w:rPr>
          <w:rFonts w:ascii="Arial" w:hAnsi="Arial" w:cs="Arial"/>
        </w:rPr>
        <w:t xml:space="preserve"> </w:t>
      </w:r>
      <w:r>
        <w:rPr>
          <w:rFonts w:ascii="Arial" w:hAnsi="Arial" w:cs="Arial"/>
        </w:rPr>
        <w:t>there were approximately 7000 articles per day</w:t>
      </w:r>
    </w:p>
    <w:p w14:paraId="42872EC6" w14:textId="7ED72CAC" w:rsidR="002134D0" w:rsidRDefault="002134D0">
      <w:pPr>
        <w:rPr>
          <w:rFonts w:ascii="Arial" w:hAnsi="Arial" w:cs="Arial"/>
        </w:rPr>
      </w:pPr>
      <w:r>
        <w:rPr>
          <w:rFonts w:ascii="Arial" w:hAnsi="Arial" w:cs="Arial"/>
        </w:rPr>
        <w:t>Used with permission – personal communication</w:t>
      </w:r>
    </w:p>
    <w:p w14:paraId="58A3F1F1" w14:textId="77777777" w:rsidR="004F6D2B" w:rsidRDefault="004F6D2B">
      <w:pPr>
        <w:rPr>
          <w:rFonts w:ascii="Arial" w:hAnsi="Arial" w:cs="Arial"/>
          <w:b/>
        </w:rPr>
      </w:pPr>
    </w:p>
    <w:p w14:paraId="14976EF3" w14:textId="7C2820AB" w:rsidR="00C82CDE" w:rsidRDefault="00C82CDE">
      <w:pPr>
        <w:rPr>
          <w:rFonts w:ascii="Arial" w:hAnsi="Arial" w:cs="Arial"/>
          <w:b/>
        </w:rPr>
      </w:pPr>
      <w:r>
        <w:rPr>
          <w:rFonts w:ascii="Arial" w:hAnsi="Arial" w:cs="Arial"/>
          <w:b/>
        </w:rPr>
        <w:t>Slide 24:</w:t>
      </w:r>
      <w:r w:rsidR="00517E5B">
        <w:rPr>
          <w:rFonts w:ascii="Arial" w:hAnsi="Arial" w:cs="Arial"/>
          <w:b/>
        </w:rPr>
        <w:t xml:space="preserve"> Why is assessing </w:t>
      </w:r>
      <w:proofErr w:type="spellStart"/>
      <w:r w:rsidR="00517E5B">
        <w:rPr>
          <w:rFonts w:ascii="Arial" w:hAnsi="Arial" w:cs="Arial"/>
          <w:b/>
        </w:rPr>
        <w:t>organis</w:t>
      </w:r>
      <w:r w:rsidR="00133140">
        <w:rPr>
          <w:rFonts w:ascii="Arial" w:hAnsi="Arial" w:cs="Arial"/>
          <w:b/>
        </w:rPr>
        <w:t>ational</w:t>
      </w:r>
      <w:proofErr w:type="spellEnd"/>
      <w:r w:rsidR="00133140">
        <w:rPr>
          <w:rFonts w:ascii="Arial" w:hAnsi="Arial" w:cs="Arial"/>
          <w:b/>
        </w:rPr>
        <w:t xml:space="preserve"> readiness important?</w:t>
      </w:r>
    </w:p>
    <w:p w14:paraId="10B08EF9" w14:textId="1D6E4F3C" w:rsidR="00133140" w:rsidRPr="00133140" w:rsidRDefault="00133140" w:rsidP="00133140">
      <w:pPr>
        <w:rPr>
          <w:rFonts w:ascii="Arial" w:hAnsi="Arial" w:cs="Arial"/>
        </w:rPr>
      </w:pPr>
      <w:r w:rsidRPr="00133140">
        <w:rPr>
          <w:rFonts w:ascii="Arial" w:hAnsi="Arial" w:cs="Arial"/>
        </w:rPr>
        <w:t>•</w:t>
      </w:r>
      <w:r>
        <w:rPr>
          <w:rFonts w:ascii="Arial" w:hAnsi="Arial" w:cs="Arial"/>
        </w:rPr>
        <w:t xml:space="preserve"> </w:t>
      </w:r>
      <w:r w:rsidRPr="00133140">
        <w:rPr>
          <w:rFonts w:ascii="Arial" w:hAnsi="Arial" w:cs="Arial"/>
        </w:rPr>
        <w:t>MOVE ON</w:t>
      </w:r>
    </w:p>
    <w:p w14:paraId="6069B2F5" w14:textId="2075F020" w:rsidR="00133140" w:rsidRPr="00133140" w:rsidRDefault="00AB41FF" w:rsidP="00133140">
      <w:pPr>
        <w:pStyle w:val="ListParagraph"/>
        <w:numPr>
          <w:ilvl w:val="0"/>
          <w:numId w:val="23"/>
        </w:numPr>
        <w:rPr>
          <w:rFonts w:ascii="Arial" w:hAnsi="Arial" w:cs="Arial"/>
        </w:rPr>
      </w:pPr>
      <w:r>
        <w:rPr>
          <w:rFonts w:ascii="Arial" w:hAnsi="Arial" w:cs="Arial"/>
        </w:rPr>
        <w:t>Implemented </w:t>
      </w:r>
      <w:r w:rsidR="00133140" w:rsidRPr="00133140">
        <w:rPr>
          <w:rFonts w:ascii="Arial" w:hAnsi="Arial" w:cs="Arial"/>
        </w:rPr>
        <w:t xml:space="preserve">and evaluated an early </w:t>
      </w:r>
      <w:proofErr w:type="spellStart"/>
      <w:r w:rsidR="00133140" w:rsidRPr="00133140">
        <w:rPr>
          <w:rFonts w:ascii="Arial" w:hAnsi="Arial" w:cs="Arial"/>
        </w:rPr>
        <w:t>mobilisation</w:t>
      </w:r>
      <w:proofErr w:type="spellEnd"/>
      <w:r w:rsidR="00133140" w:rsidRPr="00133140">
        <w:rPr>
          <w:rFonts w:ascii="Arial" w:hAnsi="Arial" w:cs="Arial"/>
        </w:rPr>
        <w:t xml:space="preserve"> strategy for older adults admitted to acute care hospitals in Ontario</w:t>
      </w:r>
    </w:p>
    <w:p w14:paraId="52034C4D" w14:textId="014A7382" w:rsidR="00133140" w:rsidRPr="00133140" w:rsidRDefault="00133140" w:rsidP="00133140">
      <w:pPr>
        <w:pStyle w:val="ListParagraph"/>
        <w:numPr>
          <w:ilvl w:val="0"/>
          <w:numId w:val="23"/>
        </w:numPr>
        <w:rPr>
          <w:rFonts w:ascii="Arial" w:hAnsi="Arial" w:cs="Arial"/>
        </w:rPr>
      </w:pPr>
      <w:r w:rsidRPr="00133140">
        <w:rPr>
          <w:rFonts w:ascii="Arial" w:hAnsi="Arial" w:cs="Arial"/>
        </w:rPr>
        <w:t>How do we know if 14 hospitals are ready to implement this?</w:t>
      </w:r>
    </w:p>
    <w:p w14:paraId="63930401" w14:textId="739E994E" w:rsidR="00133140" w:rsidRPr="00133140" w:rsidRDefault="00133140" w:rsidP="00133140">
      <w:pPr>
        <w:ind w:left="990"/>
        <w:rPr>
          <w:rFonts w:ascii="Arial" w:hAnsi="Arial" w:cs="Arial"/>
        </w:rPr>
      </w:pPr>
      <w:r w:rsidRPr="00133140">
        <w:rPr>
          <w:rFonts w:ascii="Arial" w:hAnsi="Arial" w:cs="Arial"/>
        </w:rPr>
        <w:t>•</w:t>
      </w:r>
      <w:r>
        <w:rPr>
          <w:rFonts w:ascii="Arial" w:hAnsi="Arial" w:cs="Arial"/>
        </w:rPr>
        <w:t xml:space="preserve"> </w:t>
      </w:r>
      <w:r w:rsidRPr="00133140">
        <w:rPr>
          <w:rFonts w:ascii="Arial" w:hAnsi="Arial" w:cs="Arial"/>
        </w:rPr>
        <w:t>Implement Sci. 2014 Oct 30</w:t>
      </w:r>
      <w:proofErr w:type="gramStart"/>
      <w:r w:rsidRPr="00133140">
        <w:rPr>
          <w:rFonts w:ascii="Arial" w:hAnsi="Arial" w:cs="Arial"/>
        </w:rPr>
        <w:t>;9:160</w:t>
      </w:r>
      <w:proofErr w:type="gramEnd"/>
      <w:r w:rsidRPr="00133140">
        <w:rPr>
          <w:rFonts w:ascii="Arial" w:hAnsi="Arial" w:cs="Arial"/>
        </w:rPr>
        <w:t xml:space="preserve">. </w:t>
      </w:r>
      <w:proofErr w:type="spellStart"/>
      <w:proofErr w:type="gramStart"/>
      <w:r w:rsidRPr="00133140">
        <w:rPr>
          <w:rFonts w:ascii="Arial" w:hAnsi="Arial" w:cs="Arial"/>
        </w:rPr>
        <w:t>doi</w:t>
      </w:r>
      <w:proofErr w:type="spellEnd"/>
      <w:proofErr w:type="gramEnd"/>
      <w:r w:rsidRPr="00133140">
        <w:rPr>
          <w:rFonts w:ascii="Arial" w:hAnsi="Arial" w:cs="Arial"/>
        </w:rPr>
        <w:t>: 10.1186/s13012-014-0160-6</w:t>
      </w:r>
    </w:p>
    <w:p w14:paraId="1A0D98FF" w14:textId="266C41A5" w:rsidR="00133140" w:rsidRPr="00133140" w:rsidRDefault="00133140" w:rsidP="00133140">
      <w:pPr>
        <w:ind w:left="990"/>
        <w:rPr>
          <w:rFonts w:ascii="Arial" w:hAnsi="Arial" w:cs="Arial"/>
        </w:rPr>
      </w:pPr>
      <w:r w:rsidRPr="00133140">
        <w:rPr>
          <w:rFonts w:ascii="Arial" w:hAnsi="Arial" w:cs="Arial"/>
        </w:rPr>
        <w:t>•</w:t>
      </w:r>
      <w:r>
        <w:rPr>
          <w:rFonts w:ascii="Arial" w:hAnsi="Arial" w:cs="Arial"/>
        </w:rPr>
        <w:t xml:space="preserve"> </w:t>
      </w:r>
      <w:r w:rsidRPr="00133140">
        <w:rPr>
          <w:rFonts w:ascii="Arial" w:hAnsi="Arial" w:cs="Arial"/>
        </w:rPr>
        <w:t>Implement Sci. 2013 Jul 3</w:t>
      </w:r>
      <w:proofErr w:type="gramStart"/>
      <w:r w:rsidRPr="00133140">
        <w:rPr>
          <w:rFonts w:ascii="Arial" w:hAnsi="Arial" w:cs="Arial"/>
        </w:rPr>
        <w:t>;8:76</w:t>
      </w:r>
      <w:proofErr w:type="gramEnd"/>
      <w:r w:rsidRPr="00133140">
        <w:rPr>
          <w:rFonts w:ascii="Arial" w:hAnsi="Arial" w:cs="Arial"/>
        </w:rPr>
        <w:t xml:space="preserve">. </w:t>
      </w:r>
      <w:proofErr w:type="spellStart"/>
      <w:proofErr w:type="gramStart"/>
      <w:r w:rsidRPr="00133140">
        <w:rPr>
          <w:rFonts w:ascii="Arial" w:hAnsi="Arial" w:cs="Arial"/>
        </w:rPr>
        <w:t>doi</w:t>
      </w:r>
      <w:proofErr w:type="spellEnd"/>
      <w:proofErr w:type="gramEnd"/>
      <w:r w:rsidRPr="00133140">
        <w:rPr>
          <w:rFonts w:ascii="Arial" w:hAnsi="Arial" w:cs="Arial"/>
        </w:rPr>
        <w:t>: 10.1186/1748-5908-8-76.</w:t>
      </w:r>
    </w:p>
    <w:p w14:paraId="16B32111" w14:textId="221F179B" w:rsidR="00133140" w:rsidRPr="00133140" w:rsidRDefault="00133140" w:rsidP="00133140">
      <w:pPr>
        <w:ind w:left="990"/>
        <w:rPr>
          <w:rFonts w:ascii="Arial" w:hAnsi="Arial" w:cs="Arial"/>
        </w:rPr>
      </w:pPr>
      <w:r w:rsidRPr="00133140">
        <w:rPr>
          <w:rFonts w:ascii="Arial" w:hAnsi="Arial" w:cs="Arial"/>
        </w:rPr>
        <w:t>•</w:t>
      </w:r>
      <w:r>
        <w:rPr>
          <w:rFonts w:ascii="Arial" w:hAnsi="Arial" w:cs="Arial"/>
        </w:rPr>
        <w:t xml:space="preserve"> </w:t>
      </w:r>
      <w:r w:rsidRPr="00133140">
        <w:rPr>
          <w:rFonts w:ascii="Arial" w:hAnsi="Arial" w:cs="Arial"/>
        </w:rPr>
        <w:t xml:space="preserve">Age and Ageing 2017; </w:t>
      </w:r>
      <w:proofErr w:type="spellStart"/>
      <w:r w:rsidRPr="00133140">
        <w:rPr>
          <w:rFonts w:ascii="Arial" w:hAnsi="Arial" w:cs="Arial"/>
        </w:rPr>
        <w:t>doi.prg</w:t>
      </w:r>
      <w:proofErr w:type="spellEnd"/>
      <w:r w:rsidRPr="00133140">
        <w:rPr>
          <w:rFonts w:ascii="Arial" w:hAnsi="Arial" w:cs="Arial"/>
        </w:rPr>
        <w:t>/10.1093</w:t>
      </w:r>
    </w:p>
    <w:p w14:paraId="03907F29" w14:textId="77777777" w:rsidR="00133140" w:rsidRPr="00133140" w:rsidRDefault="00133140">
      <w:pPr>
        <w:rPr>
          <w:rFonts w:ascii="Arial" w:hAnsi="Arial" w:cs="Arial"/>
        </w:rPr>
      </w:pPr>
    </w:p>
    <w:p w14:paraId="7B651481" w14:textId="77777777" w:rsidR="007E3168" w:rsidRDefault="00C82CDE">
      <w:pPr>
        <w:rPr>
          <w:rFonts w:ascii="Arial" w:hAnsi="Arial" w:cs="Arial"/>
          <w:b/>
        </w:rPr>
      </w:pPr>
      <w:r>
        <w:rPr>
          <w:rFonts w:ascii="Arial" w:hAnsi="Arial" w:cs="Arial"/>
          <w:b/>
        </w:rPr>
        <w:t>Slide 25:</w:t>
      </w:r>
      <w:r w:rsidR="007E3168">
        <w:rPr>
          <w:rFonts w:ascii="Arial" w:hAnsi="Arial" w:cs="Arial"/>
          <w:b/>
        </w:rPr>
        <w:t xml:space="preserve"> Screenshot of Knowledge Translation Canada page </w:t>
      </w:r>
    </w:p>
    <w:p w14:paraId="4F174889" w14:textId="6FD0A0A1" w:rsidR="00C82CDE" w:rsidRPr="007E3168" w:rsidRDefault="007E3168">
      <w:pPr>
        <w:rPr>
          <w:rFonts w:ascii="Arial" w:hAnsi="Arial" w:cs="Arial"/>
        </w:rPr>
      </w:pPr>
      <w:r w:rsidRPr="007E3168">
        <w:rPr>
          <w:rFonts w:ascii="Arial" w:hAnsi="Arial" w:cs="Arial"/>
        </w:rPr>
        <w:t>Organizational Readiness for Change (TCU-ORC) has been recommended for you to use in your unique setting to assess your organization’s level of readiness to implement the change initiative.</w:t>
      </w:r>
    </w:p>
    <w:p w14:paraId="2FD8084F" w14:textId="3B3571E0" w:rsidR="007E3168" w:rsidRDefault="007E3168">
      <w:pPr>
        <w:rPr>
          <w:rFonts w:ascii="Arial" w:hAnsi="Arial" w:cs="Arial"/>
          <w:b/>
        </w:rPr>
      </w:pPr>
      <w:r>
        <w:rPr>
          <w:rFonts w:ascii="Arial" w:hAnsi="Arial" w:cs="Arial"/>
          <w:b/>
        </w:rPr>
        <w:t>Why this measure was recommended</w:t>
      </w:r>
    </w:p>
    <w:p w14:paraId="0014DB80" w14:textId="6DC54C3A" w:rsidR="007E3168" w:rsidRPr="007E3168" w:rsidRDefault="007E3168">
      <w:pPr>
        <w:rPr>
          <w:rFonts w:ascii="Arial" w:hAnsi="Arial" w:cs="Arial"/>
        </w:rPr>
      </w:pPr>
      <w:r w:rsidRPr="007E3168">
        <w:rPr>
          <w:rFonts w:ascii="Arial" w:hAnsi="Arial" w:cs="Arial"/>
        </w:rPr>
        <w:t>This measure was recommended to you because your top priorities are related to individual Structural aspects of readiness for change (refer to the definitions below).</w:t>
      </w:r>
    </w:p>
    <w:p w14:paraId="39438154" w14:textId="379F440A" w:rsidR="007E3168" w:rsidRDefault="007E3168">
      <w:pPr>
        <w:rPr>
          <w:rFonts w:ascii="Arial" w:hAnsi="Arial" w:cs="Arial"/>
          <w:b/>
        </w:rPr>
      </w:pPr>
      <w:r>
        <w:rPr>
          <w:rFonts w:ascii="Arial" w:hAnsi="Arial" w:cs="Arial"/>
          <w:b/>
        </w:rPr>
        <w:t>Facts about this measure</w:t>
      </w:r>
    </w:p>
    <w:p w14:paraId="74020334" w14:textId="1A6D79E4" w:rsidR="007E3168" w:rsidRDefault="007E3168" w:rsidP="00386756">
      <w:pPr>
        <w:pStyle w:val="ListParagraph"/>
        <w:numPr>
          <w:ilvl w:val="0"/>
          <w:numId w:val="28"/>
        </w:numPr>
        <w:ind w:left="180" w:hanging="90"/>
        <w:rPr>
          <w:rFonts w:ascii="Arial" w:hAnsi="Arial" w:cs="Arial"/>
        </w:rPr>
      </w:pPr>
      <w:r w:rsidRPr="007E3168">
        <w:rPr>
          <w:rFonts w:ascii="Arial" w:hAnsi="Arial" w:cs="Arial"/>
        </w:rPr>
        <w:t>This measure contains a total of 118 items, of which 17 items (14%) are designed to assess Individual Structural priorities</w:t>
      </w:r>
    </w:p>
    <w:p w14:paraId="74E9EDC0" w14:textId="47EFC601" w:rsidR="007E3168" w:rsidRDefault="007E3168" w:rsidP="00386756">
      <w:pPr>
        <w:pStyle w:val="ListParagraph"/>
        <w:numPr>
          <w:ilvl w:val="0"/>
          <w:numId w:val="28"/>
        </w:numPr>
        <w:ind w:left="180" w:hanging="90"/>
        <w:rPr>
          <w:rFonts w:ascii="Arial" w:hAnsi="Arial" w:cs="Arial"/>
        </w:rPr>
      </w:pPr>
      <w:r>
        <w:rPr>
          <w:rFonts w:ascii="Arial" w:hAnsi="Arial" w:cs="Arial"/>
        </w:rPr>
        <w:t>A panel of your peers rated this measure as feasible to use, (i.e. can be implemented in a timely manner without causing undue burden to existing resources) and relevant to health care settings.</w:t>
      </w:r>
    </w:p>
    <w:p w14:paraId="0DEFE9FA" w14:textId="18C2211B" w:rsidR="007E3168" w:rsidRDefault="007E3168" w:rsidP="00386756">
      <w:pPr>
        <w:pStyle w:val="ListParagraph"/>
        <w:numPr>
          <w:ilvl w:val="0"/>
          <w:numId w:val="28"/>
        </w:numPr>
        <w:ind w:left="180" w:hanging="90"/>
        <w:rPr>
          <w:rFonts w:ascii="Arial" w:hAnsi="Arial" w:cs="Arial"/>
        </w:rPr>
      </w:pPr>
      <w:r>
        <w:rPr>
          <w:rFonts w:ascii="Arial" w:hAnsi="Arial" w:cs="Arial"/>
        </w:rPr>
        <w:t>A promoter score (i.e., likelihood to recommend to others) of 6 out of 10 was awarded to this measure by your peers.</w:t>
      </w:r>
    </w:p>
    <w:p w14:paraId="548BF851" w14:textId="2F1AF384" w:rsidR="007E3168" w:rsidRDefault="007E3168" w:rsidP="00386756">
      <w:pPr>
        <w:pStyle w:val="ListParagraph"/>
        <w:numPr>
          <w:ilvl w:val="0"/>
          <w:numId w:val="28"/>
        </w:numPr>
        <w:ind w:left="180" w:hanging="90"/>
        <w:rPr>
          <w:rFonts w:ascii="Arial" w:hAnsi="Arial" w:cs="Arial"/>
        </w:rPr>
      </w:pPr>
      <w:r>
        <w:rPr>
          <w:rFonts w:ascii="Arial" w:hAnsi="Arial" w:cs="Arial"/>
        </w:rPr>
        <w:t>For details on how to access this measure click below.</w:t>
      </w:r>
    </w:p>
    <w:p w14:paraId="0B2C62B4" w14:textId="77777777" w:rsidR="00386756" w:rsidRDefault="00386756" w:rsidP="00386756">
      <w:pPr>
        <w:pStyle w:val="ListParagraph"/>
        <w:ind w:left="180" w:hanging="90"/>
        <w:rPr>
          <w:rFonts w:ascii="Arial" w:hAnsi="Arial" w:cs="Arial"/>
        </w:rPr>
      </w:pPr>
    </w:p>
    <w:p w14:paraId="4D52DB5B" w14:textId="3C6E19CF" w:rsidR="007E3168" w:rsidRPr="007E3168" w:rsidRDefault="00FF2EDB" w:rsidP="00386756">
      <w:pPr>
        <w:pStyle w:val="ListParagraph"/>
        <w:ind w:left="180" w:hanging="90"/>
        <w:rPr>
          <w:rFonts w:ascii="Arial" w:hAnsi="Arial" w:cs="Arial"/>
        </w:rPr>
      </w:pPr>
      <w:r>
        <w:rPr>
          <w:rFonts w:ascii="Arial" w:hAnsi="Arial" w:cs="Arial"/>
        </w:rPr>
        <w:t>Organizational Readiness for Change (TCU-ORC)</w:t>
      </w:r>
    </w:p>
    <w:p w14:paraId="25927EBD" w14:textId="77777777" w:rsidR="007E3168" w:rsidRDefault="007E3168" w:rsidP="00386756">
      <w:pPr>
        <w:ind w:left="180" w:hanging="90"/>
        <w:rPr>
          <w:rFonts w:ascii="Arial" w:hAnsi="Arial" w:cs="Arial"/>
          <w:b/>
        </w:rPr>
      </w:pPr>
    </w:p>
    <w:p w14:paraId="14114492" w14:textId="5D285696" w:rsidR="003761AE" w:rsidRDefault="007E3168">
      <w:pPr>
        <w:rPr>
          <w:rFonts w:ascii="Arial" w:hAnsi="Arial" w:cs="Arial"/>
          <w:b/>
        </w:rPr>
      </w:pPr>
      <w:r>
        <w:rPr>
          <w:rFonts w:ascii="Arial" w:hAnsi="Arial" w:cs="Arial"/>
          <w:b/>
        </w:rPr>
        <w:t>Slide 26:</w:t>
      </w:r>
      <w:r w:rsidR="00550933">
        <w:rPr>
          <w:rFonts w:ascii="Arial" w:hAnsi="Arial" w:cs="Arial"/>
          <w:b/>
        </w:rPr>
        <w:t xml:space="preserve"> Barriers at all levels</w:t>
      </w:r>
    </w:p>
    <w:p w14:paraId="163075D4" w14:textId="77777777" w:rsidR="00550933" w:rsidRPr="00550933" w:rsidRDefault="00550933" w:rsidP="00550933">
      <w:pPr>
        <w:rPr>
          <w:rFonts w:ascii="Arial" w:hAnsi="Arial" w:cs="Arial"/>
        </w:rPr>
      </w:pPr>
      <w:r w:rsidRPr="00550933">
        <w:rPr>
          <w:rFonts w:ascii="Arial" w:hAnsi="Arial" w:cs="Arial"/>
        </w:rPr>
        <w:t>Barriers at different levels:</w:t>
      </w:r>
    </w:p>
    <w:p w14:paraId="5C2511FE" w14:textId="67BF4378" w:rsidR="00550933" w:rsidRPr="00AF4A13" w:rsidRDefault="00550933" w:rsidP="00550933">
      <w:pPr>
        <w:pStyle w:val="ListParagraph"/>
        <w:numPr>
          <w:ilvl w:val="0"/>
          <w:numId w:val="23"/>
        </w:numPr>
        <w:rPr>
          <w:rFonts w:ascii="Arial" w:hAnsi="Arial" w:cs="Arial"/>
        </w:rPr>
      </w:pPr>
      <w:r w:rsidRPr="00AF4A13">
        <w:rPr>
          <w:rFonts w:ascii="Arial" w:hAnsi="Arial" w:cs="Arial"/>
          <w:bCs/>
        </w:rPr>
        <w:t xml:space="preserve">Health care system </w:t>
      </w:r>
      <w:r w:rsidRPr="00AF4A13">
        <w:rPr>
          <w:rFonts w:ascii="Arial" w:hAnsi="Arial" w:cs="Arial"/>
        </w:rPr>
        <w:t>(e.g. financial disincentives)</w:t>
      </w:r>
    </w:p>
    <w:p w14:paraId="15301E29" w14:textId="5AA7FBDB" w:rsidR="00550933" w:rsidRPr="00AF4A13" w:rsidRDefault="00550933" w:rsidP="00550933">
      <w:pPr>
        <w:pStyle w:val="ListParagraph"/>
        <w:numPr>
          <w:ilvl w:val="0"/>
          <w:numId w:val="23"/>
        </w:numPr>
        <w:rPr>
          <w:rFonts w:ascii="Arial" w:hAnsi="Arial" w:cs="Arial"/>
        </w:rPr>
      </w:pPr>
      <w:r w:rsidRPr="00AF4A13">
        <w:rPr>
          <w:rFonts w:ascii="Arial" w:hAnsi="Arial" w:cs="Arial"/>
          <w:bCs/>
        </w:rPr>
        <w:t xml:space="preserve">Health care organization </w:t>
      </w:r>
      <w:r w:rsidRPr="00AF4A13">
        <w:rPr>
          <w:rFonts w:ascii="Arial" w:hAnsi="Arial" w:cs="Arial"/>
        </w:rPr>
        <w:t>(e.g. inappropriate skills)</w:t>
      </w:r>
    </w:p>
    <w:p w14:paraId="7201B90C" w14:textId="4947D64C" w:rsidR="00550933" w:rsidRPr="00AF4A13" w:rsidRDefault="00550933" w:rsidP="00550933">
      <w:pPr>
        <w:pStyle w:val="ListParagraph"/>
        <w:numPr>
          <w:ilvl w:val="0"/>
          <w:numId w:val="23"/>
        </w:numPr>
        <w:rPr>
          <w:rFonts w:ascii="Arial" w:hAnsi="Arial" w:cs="Arial"/>
        </w:rPr>
      </w:pPr>
      <w:r w:rsidRPr="00AF4A13">
        <w:rPr>
          <w:rFonts w:ascii="Arial" w:hAnsi="Arial" w:cs="Arial"/>
          <w:bCs/>
        </w:rPr>
        <w:t xml:space="preserve">Health care teams </w:t>
      </w:r>
      <w:r w:rsidRPr="00AF4A13">
        <w:rPr>
          <w:rFonts w:ascii="Arial" w:hAnsi="Arial" w:cs="Arial"/>
        </w:rPr>
        <w:t>(e.g. local standards of care not aligned with desired practice)</w:t>
      </w:r>
    </w:p>
    <w:p w14:paraId="4724FD5E" w14:textId="65C01E9A" w:rsidR="00550933" w:rsidRPr="00AF4A13" w:rsidRDefault="00550933" w:rsidP="00550933">
      <w:pPr>
        <w:pStyle w:val="ListParagraph"/>
        <w:numPr>
          <w:ilvl w:val="0"/>
          <w:numId w:val="23"/>
        </w:numPr>
        <w:rPr>
          <w:rFonts w:ascii="Arial" w:hAnsi="Arial" w:cs="Arial"/>
        </w:rPr>
      </w:pPr>
      <w:r w:rsidRPr="00AF4A13">
        <w:rPr>
          <w:rFonts w:ascii="Arial" w:hAnsi="Arial" w:cs="Arial"/>
          <w:bCs/>
        </w:rPr>
        <w:t xml:space="preserve">Individual clinicians </w:t>
      </w:r>
      <w:r w:rsidRPr="00AF4A13">
        <w:rPr>
          <w:rFonts w:ascii="Arial" w:hAnsi="Arial" w:cs="Arial"/>
        </w:rPr>
        <w:t>(e.g. knowledge, skills, attitudes)</w:t>
      </w:r>
    </w:p>
    <w:p w14:paraId="7118CA4D" w14:textId="6B217A9E" w:rsidR="00550933" w:rsidRPr="00AF4A13" w:rsidRDefault="00550933" w:rsidP="00550933">
      <w:pPr>
        <w:pStyle w:val="ListParagraph"/>
        <w:numPr>
          <w:ilvl w:val="0"/>
          <w:numId w:val="23"/>
        </w:numPr>
        <w:rPr>
          <w:rFonts w:ascii="Arial" w:hAnsi="Arial" w:cs="Arial"/>
        </w:rPr>
      </w:pPr>
      <w:r w:rsidRPr="00AF4A13">
        <w:rPr>
          <w:rFonts w:ascii="Arial" w:hAnsi="Arial" w:cs="Arial"/>
          <w:bCs/>
        </w:rPr>
        <w:t>Public/Patients</w:t>
      </w:r>
      <w:r w:rsidRPr="00AF4A13">
        <w:rPr>
          <w:rFonts w:ascii="Arial" w:hAnsi="Arial" w:cs="Arial"/>
        </w:rPr>
        <w:t xml:space="preserve"> (e.g. lack of adherence to recommendations)</w:t>
      </w:r>
    </w:p>
    <w:p w14:paraId="21DAACEA" w14:textId="0E0F15CD" w:rsidR="00550933" w:rsidRDefault="00AF4A13">
      <w:pPr>
        <w:rPr>
          <w:rFonts w:ascii="Arial" w:hAnsi="Arial" w:cs="Arial"/>
        </w:rPr>
      </w:pPr>
      <w:r>
        <w:rPr>
          <w:rFonts w:ascii="Arial" w:hAnsi="Arial" w:cs="Arial"/>
        </w:rPr>
        <w:t>An image of a wall made of bricks on the right of text</w:t>
      </w:r>
    </w:p>
    <w:p w14:paraId="4DB2BFFA" w14:textId="77777777" w:rsidR="00550933" w:rsidRPr="00550933" w:rsidRDefault="00550933">
      <w:pPr>
        <w:rPr>
          <w:rFonts w:ascii="Arial" w:hAnsi="Arial" w:cs="Arial"/>
        </w:rPr>
      </w:pPr>
    </w:p>
    <w:p w14:paraId="25A52550" w14:textId="1B3ED127" w:rsidR="007E3168" w:rsidRDefault="007E3168">
      <w:pPr>
        <w:rPr>
          <w:rFonts w:ascii="Arial" w:hAnsi="Arial" w:cs="Arial"/>
          <w:b/>
        </w:rPr>
      </w:pPr>
      <w:r>
        <w:rPr>
          <w:rFonts w:ascii="Arial" w:hAnsi="Arial" w:cs="Arial"/>
          <w:b/>
        </w:rPr>
        <w:t>Slide 27:</w:t>
      </w:r>
      <w:r w:rsidR="00151FDE">
        <w:rPr>
          <w:rFonts w:ascii="Arial" w:hAnsi="Arial" w:cs="Arial"/>
          <w:b/>
        </w:rPr>
        <w:t xml:space="preserve"> 2. Clinicians should not be the only target for KT</w:t>
      </w:r>
    </w:p>
    <w:p w14:paraId="17596B8B" w14:textId="1920A17D" w:rsidR="00151FDE" w:rsidRPr="00151FDE" w:rsidRDefault="00151FDE" w:rsidP="00151FDE">
      <w:pPr>
        <w:ind w:left="180" w:hanging="180"/>
        <w:rPr>
          <w:rFonts w:ascii="Arial" w:hAnsi="Arial" w:cs="Arial"/>
        </w:rPr>
      </w:pPr>
      <w:r w:rsidRPr="00151FDE">
        <w:rPr>
          <w:rFonts w:ascii="Arial" w:hAnsi="Arial" w:cs="Arial"/>
        </w:rPr>
        <w:t>•</w:t>
      </w:r>
      <w:r>
        <w:rPr>
          <w:rFonts w:ascii="Arial" w:hAnsi="Arial" w:cs="Arial"/>
        </w:rPr>
        <w:t xml:space="preserve"> </w:t>
      </w:r>
      <w:r w:rsidRPr="00151FDE">
        <w:rPr>
          <w:rFonts w:ascii="Arial" w:hAnsi="Arial" w:cs="Arial"/>
        </w:rPr>
        <w:t>To examine the influence of KT/QI interventions in patients with diabetes mellitus on the following:</w:t>
      </w:r>
    </w:p>
    <w:p w14:paraId="5C7F7309" w14:textId="111E4CFE" w:rsidR="00151FDE" w:rsidRPr="00151FDE" w:rsidRDefault="00151FDE" w:rsidP="00151FDE">
      <w:pPr>
        <w:pStyle w:val="ListParagraph"/>
        <w:numPr>
          <w:ilvl w:val="0"/>
          <w:numId w:val="23"/>
        </w:numPr>
        <w:rPr>
          <w:rFonts w:ascii="Arial" w:hAnsi="Arial" w:cs="Arial"/>
        </w:rPr>
      </w:pPr>
      <w:r w:rsidRPr="00151FDE">
        <w:rPr>
          <w:rFonts w:ascii="Arial" w:hAnsi="Arial" w:cs="Arial"/>
        </w:rPr>
        <w:t>glycemic control</w:t>
      </w:r>
    </w:p>
    <w:p w14:paraId="206CFB4F" w14:textId="5AAD3373" w:rsidR="00151FDE" w:rsidRPr="00151FDE" w:rsidRDefault="00151FDE" w:rsidP="00151FDE">
      <w:pPr>
        <w:pStyle w:val="ListParagraph"/>
        <w:numPr>
          <w:ilvl w:val="0"/>
          <w:numId w:val="23"/>
        </w:numPr>
        <w:rPr>
          <w:rFonts w:ascii="Arial" w:hAnsi="Arial" w:cs="Arial"/>
        </w:rPr>
      </w:pPr>
      <w:r w:rsidRPr="00151FDE">
        <w:rPr>
          <w:rFonts w:ascii="Arial" w:hAnsi="Arial" w:cs="Arial"/>
        </w:rPr>
        <w:t>vascular risk factor management</w:t>
      </w:r>
    </w:p>
    <w:p w14:paraId="0FF1D3C7" w14:textId="5332335E" w:rsidR="00151FDE" w:rsidRPr="00151FDE" w:rsidRDefault="00151FDE" w:rsidP="00151FDE">
      <w:pPr>
        <w:pStyle w:val="ListParagraph"/>
        <w:numPr>
          <w:ilvl w:val="0"/>
          <w:numId w:val="23"/>
        </w:numPr>
        <w:rPr>
          <w:rFonts w:ascii="Arial" w:hAnsi="Arial" w:cs="Arial"/>
        </w:rPr>
      </w:pPr>
      <w:r w:rsidRPr="00151FDE">
        <w:rPr>
          <w:rFonts w:ascii="Arial" w:hAnsi="Arial" w:cs="Arial"/>
        </w:rPr>
        <w:lastRenderedPageBreak/>
        <w:t>microvascular complication monitoring</w:t>
      </w:r>
    </w:p>
    <w:p w14:paraId="4B56371C" w14:textId="7B956592" w:rsidR="00151FDE" w:rsidRPr="00151FDE" w:rsidRDefault="00151FDE" w:rsidP="00151FDE">
      <w:pPr>
        <w:pStyle w:val="ListParagraph"/>
        <w:numPr>
          <w:ilvl w:val="0"/>
          <w:numId w:val="23"/>
        </w:numPr>
        <w:rPr>
          <w:rFonts w:ascii="Arial" w:hAnsi="Arial" w:cs="Arial"/>
        </w:rPr>
      </w:pPr>
      <w:r w:rsidRPr="00151FDE">
        <w:rPr>
          <w:rFonts w:ascii="Arial" w:hAnsi="Arial" w:cs="Arial"/>
        </w:rPr>
        <w:t>smoking cessation</w:t>
      </w:r>
    </w:p>
    <w:p w14:paraId="458D0164" w14:textId="3B10691E" w:rsidR="00151FDE" w:rsidRPr="00151FDE" w:rsidRDefault="00151FDE" w:rsidP="00151FDE">
      <w:pPr>
        <w:pStyle w:val="ListParagraph"/>
        <w:numPr>
          <w:ilvl w:val="0"/>
          <w:numId w:val="23"/>
        </w:numPr>
        <w:rPr>
          <w:rFonts w:ascii="Arial" w:hAnsi="Arial" w:cs="Arial"/>
        </w:rPr>
      </w:pPr>
      <w:r w:rsidRPr="00151FDE">
        <w:rPr>
          <w:rFonts w:ascii="Arial" w:hAnsi="Arial" w:cs="Arial"/>
        </w:rPr>
        <w:t>harms</w:t>
      </w:r>
    </w:p>
    <w:p w14:paraId="4D7B3976" w14:textId="77777777" w:rsidR="00151FDE" w:rsidRPr="00151FDE" w:rsidRDefault="00151FDE" w:rsidP="00151FDE">
      <w:pPr>
        <w:ind w:firstLine="720"/>
        <w:rPr>
          <w:rFonts w:ascii="Arial" w:hAnsi="Arial" w:cs="Arial"/>
        </w:rPr>
      </w:pPr>
      <w:r w:rsidRPr="00151FDE">
        <w:rPr>
          <w:rFonts w:ascii="Arial" w:hAnsi="Arial" w:cs="Arial"/>
        </w:rPr>
        <w:t>»</w:t>
      </w:r>
      <w:proofErr w:type="spellStart"/>
      <w:r w:rsidRPr="00151FDE">
        <w:rPr>
          <w:rFonts w:ascii="Arial" w:hAnsi="Arial" w:cs="Arial"/>
        </w:rPr>
        <w:t>Tricco</w:t>
      </w:r>
      <w:proofErr w:type="spellEnd"/>
      <w:r w:rsidRPr="00151FDE">
        <w:rPr>
          <w:rFonts w:ascii="Arial" w:hAnsi="Arial" w:cs="Arial"/>
        </w:rPr>
        <w:t xml:space="preserve"> et al. Lancet 2012; 379:2252-61</w:t>
      </w:r>
    </w:p>
    <w:p w14:paraId="692DF50E" w14:textId="77777777" w:rsidR="00151FDE" w:rsidRPr="00151FDE" w:rsidRDefault="00151FDE">
      <w:pPr>
        <w:rPr>
          <w:rFonts w:ascii="Arial" w:hAnsi="Arial" w:cs="Arial"/>
        </w:rPr>
      </w:pPr>
    </w:p>
    <w:p w14:paraId="05DD2982" w14:textId="2766F281" w:rsidR="00B87066" w:rsidRDefault="007E3168">
      <w:pPr>
        <w:rPr>
          <w:rFonts w:ascii="Arial" w:hAnsi="Arial" w:cs="Arial"/>
          <w:b/>
        </w:rPr>
      </w:pPr>
      <w:r>
        <w:rPr>
          <w:rFonts w:ascii="Arial" w:hAnsi="Arial" w:cs="Arial"/>
          <w:b/>
        </w:rPr>
        <w:t>Slide 28:</w:t>
      </w:r>
      <w:r w:rsidR="00B87066">
        <w:rPr>
          <w:rFonts w:ascii="Arial" w:hAnsi="Arial" w:cs="Arial"/>
          <w:b/>
        </w:rPr>
        <w:t xml:space="preserve"> Results: Glycemic – HbA1c meta-analysis</w:t>
      </w:r>
    </w:p>
    <w:p w14:paraId="3372134F" w14:textId="5EB8DAFB" w:rsidR="00BC5E88" w:rsidRPr="00BC5E88" w:rsidRDefault="00BC5E88">
      <w:pPr>
        <w:rPr>
          <w:rFonts w:ascii="Arial" w:hAnsi="Arial" w:cs="Arial"/>
        </w:rPr>
      </w:pPr>
      <w:r>
        <w:rPr>
          <w:rFonts w:ascii="Arial" w:hAnsi="Arial" w:cs="Arial"/>
        </w:rPr>
        <w:t xml:space="preserve">Results of a meta-analysis from The Lancet, Vol. 379, </w:t>
      </w:r>
      <w:proofErr w:type="spellStart"/>
      <w:r>
        <w:rPr>
          <w:rFonts w:ascii="Arial" w:hAnsi="Arial" w:cs="Arial"/>
        </w:rPr>
        <w:t>Tricco</w:t>
      </w:r>
      <w:proofErr w:type="spellEnd"/>
      <w:r>
        <w:rPr>
          <w:rFonts w:ascii="Arial" w:hAnsi="Arial" w:cs="Arial"/>
        </w:rPr>
        <w:t xml:space="preserve">, et al., Effectiveness of quality improvement strategies on the management of diabetes: a systematic review and meta-analysis, pp2258, 2012, with permission from Elsevier. </w:t>
      </w:r>
      <w:r>
        <w:rPr>
          <w:rFonts w:ascii="Arial" w:hAnsi="Arial" w:cs="Arial"/>
        </w:rPr>
        <w:br/>
      </w:r>
      <w:r>
        <w:rPr>
          <w:rFonts w:ascii="Arial" w:hAnsi="Arial" w:cs="Arial"/>
        </w:rPr>
        <w:br/>
        <w:t>This table shows articles included in the meta-analysis on the left, # of Randomized Controlled Trials, MD, and 95% Confidence Interval, the data is graphed on the right.</w:t>
      </w:r>
    </w:p>
    <w:p w14:paraId="2A453F42" w14:textId="397F5C7D" w:rsidR="00BC5E88" w:rsidRDefault="00BC5E88">
      <w:pPr>
        <w:rPr>
          <w:rFonts w:ascii="Arial" w:hAnsi="Arial" w:cs="Arial"/>
        </w:rPr>
      </w:pPr>
    </w:p>
    <w:p w14:paraId="660C0824" w14:textId="223BD611" w:rsidR="00366E68" w:rsidRDefault="00366E68">
      <w:pPr>
        <w:rPr>
          <w:rFonts w:ascii="Arial" w:hAnsi="Arial" w:cs="Arial"/>
        </w:rPr>
      </w:pPr>
      <w:r>
        <w:rPr>
          <w:rFonts w:ascii="Arial" w:hAnsi="Arial" w:cs="Arial"/>
        </w:rPr>
        <w:t xml:space="preserve">First column shows the interventions, </w:t>
      </w:r>
    </w:p>
    <w:p w14:paraId="76A13A05" w14:textId="4D94E3D2" w:rsidR="00366E68" w:rsidRDefault="00366E68">
      <w:pPr>
        <w:rPr>
          <w:rFonts w:ascii="Arial" w:hAnsi="Arial" w:cs="Arial"/>
        </w:rPr>
      </w:pPr>
      <w:r>
        <w:rPr>
          <w:rFonts w:ascii="Arial" w:hAnsi="Arial" w:cs="Arial"/>
        </w:rPr>
        <w:t>The second column is the number of trials</w:t>
      </w:r>
    </w:p>
    <w:p w14:paraId="41D77D05" w14:textId="4875195D" w:rsidR="00366E68" w:rsidRDefault="00366E68">
      <w:pPr>
        <w:rPr>
          <w:rFonts w:ascii="Arial" w:hAnsi="Arial" w:cs="Arial"/>
        </w:rPr>
      </w:pPr>
      <w:r>
        <w:rPr>
          <w:rFonts w:ascii="Arial" w:hAnsi="Arial" w:cs="Arial"/>
        </w:rPr>
        <w:t>The third column are the confidence intervals</w:t>
      </w:r>
    </w:p>
    <w:p w14:paraId="0BA4B309" w14:textId="0C428B81" w:rsidR="00366E68" w:rsidRPr="00BC5E88" w:rsidRDefault="00366E68">
      <w:pPr>
        <w:rPr>
          <w:rFonts w:ascii="Arial" w:hAnsi="Arial" w:cs="Arial"/>
        </w:rPr>
      </w:pPr>
      <w:r>
        <w:rPr>
          <w:rFonts w:ascii="Arial" w:hAnsi="Arial" w:cs="Arial"/>
        </w:rPr>
        <w:t xml:space="preserve">The graph is a representation of the odds ratio for each intervention. There is a vertical line at 0 and 11 out of 12 interventions fall on the right (.50-1) on the graph. </w:t>
      </w:r>
      <w:bookmarkStart w:id="0" w:name="_GoBack"/>
      <w:bookmarkEnd w:id="0"/>
    </w:p>
    <w:p w14:paraId="494A55C0" w14:textId="77777777" w:rsidR="00BC5E88" w:rsidRDefault="00BC5E88">
      <w:pPr>
        <w:rPr>
          <w:rFonts w:ascii="Arial" w:hAnsi="Arial" w:cs="Arial"/>
          <w:b/>
        </w:rPr>
      </w:pPr>
    </w:p>
    <w:p w14:paraId="6CA66194" w14:textId="302ED2E9" w:rsidR="007E3168" w:rsidRDefault="007E3168">
      <w:pPr>
        <w:rPr>
          <w:rFonts w:ascii="Arial" w:hAnsi="Arial" w:cs="Arial"/>
          <w:b/>
        </w:rPr>
      </w:pPr>
      <w:r>
        <w:rPr>
          <w:rFonts w:ascii="Arial" w:hAnsi="Arial" w:cs="Arial"/>
          <w:b/>
        </w:rPr>
        <w:t>Slide 29:</w:t>
      </w:r>
      <w:r w:rsidR="007F17D3">
        <w:rPr>
          <w:rFonts w:ascii="Arial" w:hAnsi="Arial" w:cs="Arial"/>
          <w:b/>
        </w:rPr>
        <w:t xml:space="preserve"> 3. Beware the “ISLAGIATT*” principal</w:t>
      </w:r>
    </w:p>
    <w:p w14:paraId="0C366AA4" w14:textId="1B306283" w:rsidR="007F17D3" w:rsidRPr="007F17D3" w:rsidRDefault="007F17D3" w:rsidP="007F17D3">
      <w:pPr>
        <w:rPr>
          <w:rFonts w:ascii="Arial" w:hAnsi="Arial" w:cs="Arial"/>
        </w:rPr>
      </w:pPr>
      <w:r w:rsidRPr="007F17D3">
        <w:rPr>
          <w:rFonts w:ascii="Arial" w:hAnsi="Arial" w:cs="Arial"/>
        </w:rPr>
        <w:t>•</w:t>
      </w:r>
      <w:r>
        <w:rPr>
          <w:rFonts w:ascii="Arial" w:hAnsi="Arial" w:cs="Arial"/>
        </w:rPr>
        <w:t xml:space="preserve"> </w:t>
      </w:r>
      <w:r w:rsidRPr="007F17D3">
        <w:rPr>
          <w:rFonts w:ascii="Arial" w:hAnsi="Arial" w:cs="Arial"/>
        </w:rPr>
        <w:t>Systematic review of guideline implementation strategies</w:t>
      </w:r>
    </w:p>
    <w:p w14:paraId="1EA5C95B" w14:textId="712DB792" w:rsidR="007F17D3" w:rsidRPr="007F17D3" w:rsidRDefault="007F17D3" w:rsidP="007F17D3">
      <w:pPr>
        <w:pStyle w:val="ListParagraph"/>
        <w:numPr>
          <w:ilvl w:val="0"/>
          <w:numId w:val="23"/>
        </w:numPr>
        <w:rPr>
          <w:rFonts w:ascii="Arial" w:hAnsi="Arial" w:cs="Arial"/>
        </w:rPr>
      </w:pPr>
      <w:r w:rsidRPr="007F17D3">
        <w:rPr>
          <w:rFonts w:ascii="Arial" w:hAnsi="Arial" w:cs="Arial"/>
        </w:rPr>
        <w:t>&gt;250 studies of guideline implementation</w:t>
      </w:r>
    </w:p>
    <w:p w14:paraId="4BFA666E" w14:textId="694BA689" w:rsidR="007F17D3" w:rsidRPr="007F17D3" w:rsidRDefault="007F17D3" w:rsidP="007F17D3">
      <w:pPr>
        <w:pStyle w:val="ListParagraph"/>
        <w:numPr>
          <w:ilvl w:val="0"/>
          <w:numId w:val="23"/>
        </w:numPr>
        <w:rPr>
          <w:rFonts w:ascii="Arial" w:hAnsi="Arial" w:cs="Arial"/>
        </w:rPr>
      </w:pPr>
      <w:r w:rsidRPr="007F17D3">
        <w:rPr>
          <w:rFonts w:ascii="Arial" w:hAnsi="Arial" w:cs="Arial"/>
        </w:rPr>
        <w:t>Few studies use evidence to inform the development of the interventions</w:t>
      </w:r>
    </w:p>
    <w:p w14:paraId="6CD5729A" w14:textId="1640C14B" w:rsidR="007F17D3" w:rsidRPr="007F17D3" w:rsidRDefault="007F17D3" w:rsidP="007F17D3">
      <w:pPr>
        <w:ind w:left="720" w:firstLine="720"/>
        <w:rPr>
          <w:rFonts w:ascii="Arial" w:hAnsi="Arial" w:cs="Arial"/>
        </w:rPr>
      </w:pPr>
      <w:r w:rsidRPr="007F17D3">
        <w:rPr>
          <w:rFonts w:ascii="Arial" w:hAnsi="Arial" w:cs="Arial"/>
        </w:rPr>
        <w:t>•</w:t>
      </w:r>
      <w:r>
        <w:rPr>
          <w:rFonts w:ascii="Arial" w:hAnsi="Arial" w:cs="Arial"/>
        </w:rPr>
        <w:t xml:space="preserve"> </w:t>
      </w:r>
      <w:r w:rsidRPr="007F17D3">
        <w:rPr>
          <w:rFonts w:ascii="Arial" w:hAnsi="Arial" w:cs="Arial"/>
        </w:rPr>
        <w:t>Health Technology Assessment 2004</w:t>
      </w:r>
      <w:proofErr w:type="gramStart"/>
      <w:r w:rsidRPr="007F17D3">
        <w:rPr>
          <w:rFonts w:ascii="Arial" w:hAnsi="Arial" w:cs="Arial"/>
        </w:rPr>
        <w:t>;8</w:t>
      </w:r>
      <w:proofErr w:type="gramEnd"/>
      <w:r w:rsidRPr="007F17D3">
        <w:rPr>
          <w:rFonts w:ascii="Arial" w:hAnsi="Arial" w:cs="Arial"/>
        </w:rPr>
        <w:t>(6):iii-iv, 1-72</w:t>
      </w:r>
    </w:p>
    <w:p w14:paraId="539A6A97" w14:textId="3598B812" w:rsidR="007F17D3" w:rsidRPr="007F17D3" w:rsidRDefault="007F17D3" w:rsidP="007F17D3">
      <w:pPr>
        <w:ind w:firstLine="720"/>
        <w:rPr>
          <w:rFonts w:ascii="Arial" w:hAnsi="Arial" w:cs="Arial"/>
        </w:rPr>
      </w:pPr>
      <w:r w:rsidRPr="007F17D3">
        <w:rPr>
          <w:rFonts w:ascii="Arial" w:hAnsi="Arial" w:cs="Arial"/>
        </w:rPr>
        <w:t>»</w:t>
      </w:r>
      <w:r w:rsidR="009F6B3A">
        <w:rPr>
          <w:rFonts w:ascii="Arial" w:hAnsi="Arial" w:cs="Arial"/>
        </w:rPr>
        <w:t>*Martin Eccles </w:t>
      </w:r>
      <w:r w:rsidRPr="007F17D3">
        <w:rPr>
          <w:rFonts w:ascii="Arial" w:hAnsi="Arial" w:cs="Arial"/>
        </w:rPr>
        <w:t>(Used with permission – personal communication)</w:t>
      </w:r>
    </w:p>
    <w:p w14:paraId="2FFF4F95" w14:textId="77777777" w:rsidR="007F17D3" w:rsidRPr="007F17D3" w:rsidRDefault="007F17D3">
      <w:pPr>
        <w:rPr>
          <w:rFonts w:ascii="Arial" w:hAnsi="Arial" w:cs="Arial"/>
        </w:rPr>
      </w:pPr>
    </w:p>
    <w:p w14:paraId="3298E142" w14:textId="2ACEB54A" w:rsidR="007E3168" w:rsidRDefault="007E3168">
      <w:pPr>
        <w:rPr>
          <w:rFonts w:ascii="Arial" w:hAnsi="Arial" w:cs="Arial"/>
          <w:b/>
        </w:rPr>
      </w:pPr>
      <w:r>
        <w:rPr>
          <w:rFonts w:ascii="Arial" w:hAnsi="Arial" w:cs="Arial"/>
          <w:b/>
        </w:rPr>
        <w:t>Slide 30:</w:t>
      </w:r>
      <w:r w:rsidR="00BC3ED1">
        <w:rPr>
          <w:rFonts w:ascii="Arial" w:hAnsi="Arial" w:cs="Arial"/>
          <w:b/>
        </w:rPr>
        <w:t xml:space="preserve"> Beware the “ISLAGIATT*” principal</w:t>
      </w:r>
    </w:p>
    <w:p w14:paraId="2EBAFE7B" w14:textId="4FA4225C" w:rsidR="002E618B" w:rsidRPr="002E618B" w:rsidRDefault="002E618B" w:rsidP="002E618B">
      <w:pPr>
        <w:rPr>
          <w:rFonts w:ascii="Arial" w:hAnsi="Arial" w:cs="Arial"/>
        </w:rPr>
      </w:pPr>
      <w:r w:rsidRPr="002E618B">
        <w:rPr>
          <w:rFonts w:ascii="Arial" w:hAnsi="Arial" w:cs="Arial"/>
        </w:rPr>
        <w:t>•</w:t>
      </w:r>
      <w:r>
        <w:rPr>
          <w:rFonts w:ascii="Arial" w:hAnsi="Arial" w:cs="Arial"/>
        </w:rPr>
        <w:t xml:space="preserve"> </w:t>
      </w:r>
      <w:r w:rsidRPr="002E618B">
        <w:rPr>
          <w:rFonts w:ascii="Arial" w:hAnsi="Arial" w:cs="Arial"/>
        </w:rPr>
        <w:t>Systematic review of 140 trials of audit and feedback</w:t>
      </w:r>
    </w:p>
    <w:p w14:paraId="56C17186" w14:textId="7682352D" w:rsidR="002E618B" w:rsidRPr="002E618B" w:rsidRDefault="002E618B" w:rsidP="002E618B">
      <w:pPr>
        <w:pStyle w:val="ListParagraph"/>
        <w:numPr>
          <w:ilvl w:val="0"/>
          <w:numId w:val="23"/>
        </w:numPr>
        <w:rPr>
          <w:rFonts w:ascii="Arial" w:hAnsi="Arial" w:cs="Arial"/>
        </w:rPr>
      </w:pPr>
      <w:r w:rsidRPr="002E618B">
        <w:rPr>
          <w:rFonts w:ascii="Arial" w:hAnsi="Arial" w:cs="Arial"/>
        </w:rPr>
        <w:t>17 head to head trials</w:t>
      </w:r>
    </w:p>
    <w:p w14:paraId="562D0E66" w14:textId="7F9D3BF5" w:rsidR="002E618B" w:rsidRPr="002E618B" w:rsidRDefault="002E618B" w:rsidP="002E618B">
      <w:pPr>
        <w:pStyle w:val="ListParagraph"/>
        <w:numPr>
          <w:ilvl w:val="0"/>
          <w:numId w:val="23"/>
        </w:numPr>
        <w:rPr>
          <w:rFonts w:ascii="Arial" w:hAnsi="Arial" w:cs="Arial"/>
        </w:rPr>
      </w:pPr>
      <w:r w:rsidRPr="002E618B">
        <w:rPr>
          <w:rFonts w:ascii="Arial" w:hAnsi="Arial" w:cs="Arial"/>
        </w:rPr>
        <w:t xml:space="preserve">Less than half use elements that theory would suggest might </w:t>
      </w:r>
      <w:proofErr w:type="spellStart"/>
      <w:r w:rsidRPr="002E618B">
        <w:rPr>
          <w:rFonts w:ascii="Arial" w:hAnsi="Arial" w:cs="Arial"/>
        </w:rPr>
        <w:t>optimise</w:t>
      </w:r>
      <w:proofErr w:type="spellEnd"/>
      <w:r w:rsidRPr="002E618B">
        <w:rPr>
          <w:rFonts w:ascii="Arial" w:hAnsi="Arial" w:cs="Arial"/>
        </w:rPr>
        <w:t xml:space="preserve"> the intervention</w:t>
      </w:r>
    </w:p>
    <w:p w14:paraId="198E4E67" w14:textId="77777777" w:rsidR="002E618B" w:rsidRPr="002E618B" w:rsidRDefault="002E618B" w:rsidP="002E618B">
      <w:pPr>
        <w:rPr>
          <w:rFonts w:ascii="Arial" w:hAnsi="Arial" w:cs="Arial"/>
        </w:rPr>
      </w:pPr>
      <w:r w:rsidRPr="002E618B">
        <w:rPr>
          <w:rFonts w:ascii="Arial" w:hAnsi="Arial" w:cs="Arial"/>
        </w:rPr>
        <w:t>Source: Cochrane Database of Systematic Reviews 2012, Issue 3. Art. No.: CD000259.  DOI: 10.1002/14651858.CD000259.pub3.</w:t>
      </w:r>
    </w:p>
    <w:p w14:paraId="036275C0" w14:textId="2099951F" w:rsidR="002E618B" w:rsidRPr="002E618B" w:rsidRDefault="002E618B" w:rsidP="002E618B">
      <w:pPr>
        <w:pStyle w:val="ListParagraph"/>
        <w:numPr>
          <w:ilvl w:val="0"/>
          <w:numId w:val="30"/>
        </w:numPr>
        <w:ind w:left="180" w:hanging="180"/>
        <w:rPr>
          <w:rFonts w:ascii="Arial" w:hAnsi="Arial" w:cs="Arial"/>
        </w:rPr>
      </w:pPr>
      <w:r w:rsidRPr="002E618B">
        <w:rPr>
          <w:rFonts w:ascii="Arial" w:hAnsi="Arial" w:cs="Arial"/>
        </w:rPr>
        <w:t>Systematic review of 99 studies of quality/safety teams</w:t>
      </w:r>
    </w:p>
    <w:p w14:paraId="734C004B" w14:textId="79427847" w:rsidR="002E618B" w:rsidRPr="002E618B" w:rsidRDefault="002E618B" w:rsidP="002E618B">
      <w:pPr>
        <w:pStyle w:val="ListParagraph"/>
        <w:numPr>
          <w:ilvl w:val="0"/>
          <w:numId w:val="23"/>
        </w:numPr>
        <w:rPr>
          <w:rFonts w:ascii="Arial" w:hAnsi="Arial" w:cs="Arial"/>
        </w:rPr>
      </w:pPr>
      <w:r w:rsidRPr="002E618B">
        <w:rPr>
          <w:rFonts w:ascii="Arial" w:hAnsi="Arial" w:cs="Arial"/>
        </w:rPr>
        <w:t>2 trials</w:t>
      </w:r>
    </w:p>
    <w:p w14:paraId="45B42A44" w14:textId="2D034B9D" w:rsidR="002E618B" w:rsidRPr="002E618B" w:rsidRDefault="002E618B" w:rsidP="002E618B">
      <w:pPr>
        <w:pStyle w:val="ListParagraph"/>
        <w:numPr>
          <w:ilvl w:val="0"/>
          <w:numId w:val="23"/>
        </w:numPr>
        <w:rPr>
          <w:rFonts w:ascii="Arial" w:hAnsi="Arial" w:cs="Arial"/>
        </w:rPr>
      </w:pPr>
      <w:r w:rsidRPr="002E618B">
        <w:rPr>
          <w:rFonts w:ascii="Arial" w:hAnsi="Arial" w:cs="Arial"/>
        </w:rPr>
        <w:t>Few studies inclu</w:t>
      </w:r>
      <w:r w:rsidR="00D7375D">
        <w:rPr>
          <w:rFonts w:ascii="Arial" w:hAnsi="Arial" w:cs="Arial"/>
        </w:rPr>
        <w:t>ded any element of description </w:t>
      </w:r>
      <w:r w:rsidRPr="002E618B">
        <w:rPr>
          <w:rFonts w:ascii="Arial" w:hAnsi="Arial" w:cs="Arial"/>
        </w:rPr>
        <w:t>of the planning of the intervention</w:t>
      </w:r>
    </w:p>
    <w:p w14:paraId="2BC657A2" w14:textId="53479C3D" w:rsidR="002E618B" w:rsidRPr="002E618B" w:rsidRDefault="002E618B" w:rsidP="002E618B">
      <w:pPr>
        <w:pStyle w:val="ListParagraph"/>
        <w:numPr>
          <w:ilvl w:val="0"/>
          <w:numId w:val="23"/>
        </w:numPr>
        <w:rPr>
          <w:rFonts w:ascii="Arial" w:hAnsi="Arial" w:cs="Arial"/>
        </w:rPr>
      </w:pPr>
      <w:r w:rsidRPr="002E618B">
        <w:rPr>
          <w:rFonts w:ascii="Arial" w:hAnsi="Arial" w:cs="Arial"/>
        </w:rPr>
        <w:t>No study provided information on mechanism of action or fidelity of the intervention</w:t>
      </w:r>
    </w:p>
    <w:p w14:paraId="731CAF06" w14:textId="16FC38AC" w:rsidR="002E618B" w:rsidRPr="002E618B" w:rsidRDefault="002E618B" w:rsidP="002E618B">
      <w:pPr>
        <w:rPr>
          <w:rFonts w:ascii="Arial" w:hAnsi="Arial" w:cs="Arial"/>
        </w:rPr>
      </w:pPr>
      <w:r w:rsidRPr="002E618B">
        <w:rPr>
          <w:rFonts w:ascii="Arial" w:hAnsi="Arial" w:cs="Arial"/>
        </w:rPr>
        <w:t xml:space="preserve">Source: White, D. E., Straus, S. E., </w:t>
      </w:r>
      <w:proofErr w:type="spellStart"/>
      <w:r w:rsidRPr="002E618B">
        <w:rPr>
          <w:rFonts w:ascii="Arial" w:hAnsi="Arial" w:cs="Arial"/>
        </w:rPr>
        <w:t>Stelfox</w:t>
      </w:r>
      <w:proofErr w:type="spellEnd"/>
      <w:r w:rsidRPr="002E618B">
        <w:rPr>
          <w:rFonts w:ascii="Arial" w:hAnsi="Arial" w:cs="Arial"/>
        </w:rPr>
        <w:t>, H. T., Holroyd-Leduc, J. M., Chaim M Bell, C. M., et al. (2011). What is the value and impact of quality and safety teams? A scoping re</w:t>
      </w:r>
      <w:r w:rsidR="00D7375D">
        <w:rPr>
          <w:rFonts w:ascii="Arial" w:hAnsi="Arial" w:cs="Arial"/>
        </w:rPr>
        <w:t xml:space="preserve">view. Implementation </w:t>
      </w:r>
      <w:r w:rsidRPr="002E618B">
        <w:rPr>
          <w:rFonts w:ascii="Arial" w:hAnsi="Arial" w:cs="Arial"/>
        </w:rPr>
        <w:t>Science 2011; 6:97.</w:t>
      </w:r>
    </w:p>
    <w:p w14:paraId="56E070D0" w14:textId="77777777" w:rsidR="003761AE" w:rsidRDefault="003761AE">
      <w:pPr>
        <w:rPr>
          <w:rFonts w:ascii="Arial" w:hAnsi="Arial" w:cs="Arial"/>
        </w:rPr>
      </w:pPr>
    </w:p>
    <w:p w14:paraId="2979A91A" w14:textId="25C709A0" w:rsidR="00575449" w:rsidRPr="002C111D" w:rsidRDefault="00575449">
      <w:pPr>
        <w:rPr>
          <w:rFonts w:ascii="Arial" w:hAnsi="Arial" w:cs="Arial"/>
          <w:b/>
        </w:rPr>
      </w:pPr>
      <w:r w:rsidRPr="002C111D">
        <w:rPr>
          <w:rFonts w:ascii="Arial" w:hAnsi="Arial" w:cs="Arial"/>
          <w:b/>
        </w:rPr>
        <w:t>Slide 31:</w:t>
      </w:r>
      <w:r w:rsidR="002C111D" w:rsidRPr="002C111D">
        <w:rPr>
          <w:rFonts w:ascii="Arial" w:hAnsi="Arial" w:cs="Arial"/>
          <w:b/>
        </w:rPr>
        <w:t xml:space="preserve"> 4.</w:t>
      </w:r>
      <w:r w:rsidR="002C111D">
        <w:rPr>
          <w:rFonts w:ascii="Arial" w:hAnsi="Arial" w:cs="Arial"/>
        </w:rPr>
        <w:t xml:space="preserve"> </w:t>
      </w:r>
      <w:r w:rsidR="002C111D" w:rsidRPr="002C111D">
        <w:rPr>
          <w:rFonts w:ascii="Arial" w:hAnsi="Arial" w:cs="Arial"/>
          <w:b/>
        </w:rPr>
        <w:t>Consideration of sustainability of the KT intervention shouldn’t be left until the end</w:t>
      </w:r>
    </w:p>
    <w:p w14:paraId="37BD820D" w14:textId="5104B996" w:rsidR="002C111D" w:rsidRPr="002C111D" w:rsidRDefault="002C111D" w:rsidP="002C111D">
      <w:pPr>
        <w:rPr>
          <w:rFonts w:ascii="Arial" w:hAnsi="Arial" w:cs="Arial"/>
        </w:rPr>
      </w:pPr>
      <w:r w:rsidRPr="002C111D">
        <w:rPr>
          <w:rFonts w:ascii="Arial" w:hAnsi="Arial" w:cs="Arial"/>
        </w:rPr>
        <w:t>•</w:t>
      </w:r>
      <w:r>
        <w:rPr>
          <w:rFonts w:ascii="Arial" w:hAnsi="Arial" w:cs="Arial"/>
        </w:rPr>
        <w:t xml:space="preserve"> </w:t>
      </w:r>
      <w:r w:rsidRPr="002C111D">
        <w:rPr>
          <w:rFonts w:ascii="Arial" w:hAnsi="Arial" w:cs="Arial"/>
        </w:rPr>
        <w:t>‘Canada is a country of perpetual pilot projects in health care’</w:t>
      </w:r>
    </w:p>
    <w:p w14:paraId="7C330C07" w14:textId="5BEABF5D" w:rsidR="002C111D" w:rsidRPr="00F20823" w:rsidRDefault="002C111D" w:rsidP="00F20823">
      <w:pPr>
        <w:pStyle w:val="ListParagraph"/>
        <w:numPr>
          <w:ilvl w:val="0"/>
          <w:numId w:val="31"/>
        </w:numPr>
        <w:rPr>
          <w:rFonts w:ascii="Arial" w:hAnsi="Arial" w:cs="Arial"/>
        </w:rPr>
      </w:pPr>
      <w:proofErr w:type="spellStart"/>
      <w:r w:rsidRPr="00F20823">
        <w:rPr>
          <w:rFonts w:ascii="Arial" w:hAnsi="Arial" w:cs="Arial"/>
        </w:rPr>
        <w:lastRenderedPageBreak/>
        <w:t>Bégin</w:t>
      </w:r>
      <w:proofErr w:type="spellEnd"/>
      <w:r w:rsidRPr="00F20823">
        <w:rPr>
          <w:rFonts w:ascii="Arial" w:hAnsi="Arial" w:cs="Arial"/>
        </w:rPr>
        <w:t>, CMAJ 2009</w:t>
      </w:r>
    </w:p>
    <w:p w14:paraId="4D616A8B" w14:textId="3D508C41" w:rsidR="002C111D" w:rsidRPr="002C111D" w:rsidRDefault="002C111D" w:rsidP="002C111D">
      <w:pPr>
        <w:rPr>
          <w:rFonts w:ascii="Arial" w:hAnsi="Arial" w:cs="Arial"/>
        </w:rPr>
      </w:pPr>
      <w:r w:rsidRPr="002C111D">
        <w:rPr>
          <w:rFonts w:ascii="Arial" w:hAnsi="Arial" w:cs="Arial"/>
        </w:rPr>
        <w:t>•</w:t>
      </w:r>
      <w:r>
        <w:rPr>
          <w:rFonts w:ascii="Arial" w:hAnsi="Arial" w:cs="Arial"/>
        </w:rPr>
        <w:t xml:space="preserve"> </w:t>
      </w:r>
      <w:r w:rsidRPr="002C111D">
        <w:rPr>
          <w:rFonts w:ascii="Arial" w:hAnsi="Arial" w:cs="Arial"/>
        </w:rPr>
        <w:t xml:space="preserve">Policy cycles are often different from </w:t>
      </w:r>
      <w:proofErr w:type="spellStart"/>
      <w:r w:rsidRPr="002C111D">
        <w:rPr>
          <w:rFonts w:ascii="Arial" w:hAnsi="Arial" w:cs="Arial"/>
        </w:rPr>
        <w:t>organisational</w:t>
      </w:r>
      <w:proofErr w:type="spellEnd"/>
      <w:r w:rsidRPr="002C111D">
        <w:rPr>
          <w:rFonts w:ascii="Arial" w:hAnsi="Arial" w:cs="Arial"/>
        </w:rPr>
        <w:t xml:space="preserve"> and research timelines</w:t>
      </w:r>
    </w:p>
    <w:p w14:paraId="2D413608" w14:textId="56216E82" w:rsidR="002C111D" w:rsidRPr="002C111D" w:rsidRDefault="002C111D" w:rsidP="002C111D">
      <w:pPr>
        <w:rPr>
          <w:rFonts w:ascii="Arial" w:hAnsi="Arial" w:cs="Arial"/>
        </w:rPr>
      </w:pPr>
      <w:r w:rsidRPr="002C111D">
        <w:rPr>
          <w:rFonts w:ascii="Arial" w:hAnsi="Arial" w:cs="Arial"/>
        </w:rPr>
        <w:t>•</w:t>
      </w:r>
      <w:r>
        <w:rPr>
          <w:rFonts w:ascii="Arial" w:hAnsi="Arial" w:cs="Arial"/>
        </w:rPr>
        <w:t xml:space="preserve"> </w:t>
      </w:r>
      <w:r w:rsidRPr="002C111D">
        <w:rPr>
          <w:rFonts w:ascii="Arial" w:hAnsi="Arial" w:cs="Arial"/>
        </w:rPr>
        <w:t>Academic credit for staying engaged with a project</w:t>
      </w:r>
    </w:p>
    <w:p w14:paraId="1AE9AF33" w14:textId="77777777" w:rsidR="002C111D" w:rsidRDefault="002C111D">
      <w:pPr>
        <w:rPr>
          <w:rFonts w:ascii="Arial" w:hAnsi="Arial" w:cs="Arial"/>
        </w:rPr>
      </w:pPr>
    </w:p>
    <w:p w14:paraId="380724AA" w14:textId="0E4305B2" w:rsidR="00575449" w:rsidRPr="00087E9E" w:rsidRDefault="00575449">
      <w:pPr>
        <w:rPr>
          <w:rFonts w:ascii="Arial" w:hAnsi="Arial" w:cs="Arial"/>
          <w:b/>
        </w:rPr>
      </w:pPr>
      <w:r w:rsidRPr="00087E9E">
        <w:rPr>
          <w:rFonts w:ascii="Arial" w:hAnsi="Arial" w:cs="Arial"/>
          <w:b/>
        </w:rPr>
        <w:t>Slide 32:</w:t>
      </w:r>
      <w:r w:rsidR="00087E9E" w:rsidRPr="00087E9E">
        <w:rPr>
          <w:rFonts w:ascii="Arial" w:hAnsi="Arial" w:cs="Arial"/>
          <w:b/>
        </w:rPr>
        <w:t xml:space="preserve"> Common Sense KT</w:t>
      </w:r>
    </w:p>
    <w:p w14:paraId="399C6112" w14:textId="77777777" w:rsidR="00087E9E" w:rsidRDefault="00087E9E">
      <w:pPr>
        <w:rPr>
          <w:rFonts w:ascii="Arial" w:hAnsi="Arial" w:cs="Arial"/>
        </w:rPr>
      </w:pPr>
    </w:p>
    <w:p w14:paraId="05166F9E" w14:textId="3AD8ADC4" w:rsidR="00575449" w:rsidRPr="00512D9C" w:rsidRDefault="00575449">
      <w:pPr>
        <w:rPr>
          <w:rFonts w:ascii="Arial" w:hAnsi="Arial" w:cs="Arial"/>
          <w:b/>
        </w:rPr>
      </w:pPr>
      <w:r w:rsidRPr="00512D9C">
        <w:rPr>
          <w:rFonts w:ascii="Arial" w:hAnsi="Arial" w:cs="Arial"/>
          <w:b/>
        </w:rPr>
        <w:t>Slide 33:</w:t>
      </w:r>
      <w:r w:rsidR="00087E9E" w:rsidRPr="00512D9C">
        <w:rPr>
          <w:rFonts w:ascii="Arial" w:hAnsi="Arial" w:cs="Arial"/>
          <w:b/>
        </w:rPr>
        <w:t xml:space="preserve"> 5. KT theories, models and frameworks</w:t>
      </w:r>
    </w:p>
    <w:p w14:paraId="5A824D86" w14:textId="023F79D1" w:rsidR="00087E9E" w:rsidRPr="00087E9E" w:rsidRDefault="00087E9E" w:rsidP="00087E9E">
      <w:pPr>
        <w:rPr>
          <w:rFonts w:ascii="Arial" w:hAnsi="Arial" w:cs="Arial"/>
        </w:rPr>
      </w:pPr>
      <w:r w:rsidRPr="00087E9E">
        <w:rPr>
          <w:rFonts w:ascii="Arial" w:hAnsi="Arial" w:cs="Arial"/>
        </w:rPr>
        <w:t>•</w:t>
      </w:r>
      <w:r>
        <w:rPr>
          <w:rFonts w:ascii="Arial" w:hAnsi="Arial" w:cs="Arial"/>
        </w:rPr>
        <w:t xml:space="preserve"> </w:t>
      </w:r>
      <w:r w:rsidRPr="00087E9E">
        <w:rPr>
          <w:rFonts w:ascii="Arial" w:hAnsi="Arial" w:cs="Arial"/>
        </w:rPr>
        <w:t>Scoping review of KT theories/models/frameworks for chronic disease assessment/management or cancer prevention/control</w:t>
      </w:r>
    </w:p>
    <w:p w14:paraId="53E4E8B7" w14:textId="58310737" w:rsidR="00087E9E" w:rsidRPr="00087E9E" w:rsidRDefault="00087E9E" w:rsidP="00087E9E">
      <w:pPr>
        <w:rPr>
          <w:rFonts w:ascii="Arial" w:hAnsi="Arial" w:cs="Arial"/>
        </w:rPr>
      </w:pPr>
      <w:r w:rsidRPr="00087E9E">
        <w:rPr>
          <w:rFonts w:ascii="Arial" w:hAnsi="Arial" w:cs="Arial"/>
        </w:rPr>
        <w:t>•</w:t>
      </w:r>
      <w:r>
        <w:rPr>
          <w:rFonts w:ascii="Arial" w:hAnsi="Arial" w:cs="Arial"/>
        </w:rPr>
        <w:t xml:space="preserve"> </w:t>
      </w:r>
      <w:r w:rsidRPr="00087E9E">
        <w:rPr>
          <w:rFonts w:ascii="Arial" w:hAnsi="Arial" w:cs="Arial"/>
        </w:rPr>
        <w:t xml:space="preserve">597 studies reporting on the use of 159 KT theories/models/frameworks to inform 669 interventions. </w:t>
      </w:r>
    </w:p>
    <w:p w14:paraId="0FC0A8EC" w14:textId="6BEE9CFA" w:rsidR="00087E9E" w:rsidRPr="00087E9E" w:rsidRDefault="00087E9E" w:rsidP="00087E9E">
      <w:pPr>
        <w:rPr>
          <w:rFonts w:ascii="Arial" w:hAnsi="Arial" w:cs="Arial"/>
        </w:rPr>
      </w:pPr>
      <w:r w:rsidRPr="00087E9E">
        <w:rPr>
          <w:rFonts w:ascii="Arial" w:hAnsi="Arial" w:cs="Arial"/>
        </w:rPr>
        <w:t>•</w:t>
      </w:r>
      <w:r>
        <w:rPr>
          <w:rFonts w:ascii="Arial" w:hAnsi="Arial" w:cs="Arial"/>
        </w:rPr>
        <w:t xml:space="preserve"> </w:t>
      </w:r>
      <w:r w:rsidRPr="00087E9E">
        <w:rPr>
          <w:rFonts w:ascii="Arial" w:hAnsi="Arial" w:cs="Arial"/>
        </w:rPr>
        <w:t>The three most common theories/models/frameworks were:</w:t>
      </w:r>
    </w:p>
    <w:p w14:paraId="6D1D238C" w14:textId="24EA626F" w:rsidR="00087E9E" w:rsidRPr="00087E9E" w:rsidRDefault="00087E9E" w:rsidP="00C65E59">
      <w:pPr>
        <w:ind w:left="720" w:hanging="360"/>
        <w:rPr>
          <w:rFonts w:ascii="Arial" w:hAnsi="Arial" w:cs="Arial"/>
        </w:rPr>
      </w:pPr>
      <w:r w:rsidRPr="00087E9E">
        <w:rPr>
          <w:rFonts w:ascii="Arial" w:hAnsi="Arial" w:cs="Arial"/>
        </w:rPr>
        <w:t xml:space="preserve">– </w:t>
      </w:r>
      <w:r>
        <w:rPr>
          <w:rFonts w:ascii="Arial" w:hAnsi="Arial" w:cs="Arial"/>
        </w:rPr>
        <w:t xml:space="preserve"> </w:t>
      </w:r>
      <w:r w:rsidR="00C65E59">
        <w:rPr>
          <w:rFonts w:ascii="Arial" w:hAnsi="Arial" w:cs="Arial"/>
        </w:rPr>
        <w:t xml:space="preserve"> </w:t>
      </w:r>
      <w:r w:rsidRPr="00087E9E">
        <w:rPr>
          <w:rFonts w:ascii="Arial" w:hAnsi="Arial" w:cs="Arial"/>
        </w:rPr>
        <w:t xml:space="preserve">Prochaska and </w:t>
      </w:r>
      <w:proofErr w:type="spellStart"/>
      <w:r w:rsidRPr="00087E9E">
        <w:rPr>
          <w:rFonts w:ascii="Arial" w:hAnsi="Arial" w:cs="Arial"/>
        </w:rPr>
        <w:t>DiClemente’s</w:t>
      </w:r>
      <w:proofErr w:type="spellEnd"/>
      <w:r w:rsidRPr="00087E9E">
        <w:rPr>
          <w:rFonts w:ascii="Arial" w:hAnsi="Arial" w:cs="Arial"/>
        </w:rPr>
        <w:t xml:space="preserve"> </w:t>
      </w:r>
      <w:proofErr w:type="spellStart"/>
      <w:r w:rsidRPr="00087E9E">
        <w:rPr>
          <w:rFonts w:ascii="Arial" w:hAnsi="Arial" w:cs="Arial"/>
        </w:rPr>
        <w:t>Transtheoretical</w:t>
      </w:r>
      <w:proofErr w:type="spellEnd"/>
      <w:r w:rsidRPr="00087E9E">
        <w:rPr>
          <w:rFonts w:ascii="Arial" w:hAnsi="Arial" w:cs="Arial"/>
        </w:rPr>
        <w:t xml:space="preserve"> Model of </w:t>
      </w:r>
      <w:proofErr w:type="spellStart"/>
      <w:r w:rsidRPr="00087E9E">
        <w:rPr>
          <w:rFonts w:ascii="Arial" w:hAnsi="Arial" w:cs="Arial"/>
        </w:rPr>
        <w:t>Behaviour</w:t>
      </w:r>
      <w:proofErr w:type="spellEnd"/>
      <w:r w:rsidRPr="00087E9E">
        <w:rPr>
          <w:rFonts w:ascii="Arial" w:hAnsi="Arial" w:cs="Arial"/>
        </w:rPr>
        <w:t xml:space="preserve"> Change (144 studies), </w:t>
      </w:r>
    </w:p>
    <w:p w14:paraId="11E9AC72" w14:textId="2953E631" w:rsidR="00087E9E" w:rsidRPr="00087E9E" w:rsidRDefault="00087E9E" w:rsidP="00087E9E">
      <w:pPr>
        <w:pStyle w:val="ListParagraph"/>
        <w:numPr>
          <w:ilvl w:val="0"/>
          <w:numId w:val="23"/>
        </w:numPr>
        <w:rPr>
          <w:rFonts w:ascii="Arial" w:hAnsi="Arial" w:cs="Arial"/>
        </w:rPr>
      </w:pPr>
      <w:r w:rsidRPr="00087E9E">
        <w:rPr>
          <w:rFonts w:ascii="Arial" w:hAnsi="Arial" w:cs="Arial"/>
        </w:rPr>
        <w:t xml:space="preserve">Bandura’s Social Cognitive Theory (143 studies), </w:t>
      </w:r>
    </w:p>
    <w:p w14:paraId="4C894B2F" w14:textId="1B5BB672" w:rsidR="00087E9E" w:rsidRPr="00087E9E" w:rsidRDefault="00087E9E" w:rsidP="00087E9E">
      <w:pPr>
        <w:pStyle w:val="ListParagraph"/>
        <w:numPr>
          <w:ilvl w:val="0"/>
          <w:numId w:val="23"/>
        </w:numPr>
        <w:rPr>
          <w:rFonts w:ascii="Arial" w:hAnsi="Arial" w:cs="Arial"/>
        </w:rPr>
      </w:pPr>
      <w:proofErr w:type="spellStart"/>
      <w:r w:rsidRPr="00087E9E">
        <w:rPr>
          <w:rFonts w:ascii="Arial" w:hAnsi="Arial" w:cs="Arial"/>
        </w:rPr>
        <w:t>Rosenstock’s</w:t>
      </w:r>
      <w:proofErr w:type="spellEnd"/>
      <w:r w:rsidRPr="00087E9E">
        <w:rPr>
          <w:rFonts w:ascii="Arial" w:hAnsi="Arial" w:cs="Arial"/>
        </w:rPr>
        <w:t xml:space="preserve"> Health Belief Model (65 studies)</w:t>
      </w:r>
    </w:p>
    <w:p w14:paraId="4A1625A3" w14:textId="7120407C" w:rsidR="00087E9E" w:rsidRPr="00087E9E" w:rsidRDefault="00087E9E" w:rsidP="00087E9E">
      <w:pPr>
        <w:rPr>
          <w:rFonts w:ascii="Arial" w:hAnsi="Arial" w:cs="Arial"/>
        </w:rPr>
      </w:pPr>
      <w:r w:rsidRPr="00087E9E">
        <w:rPr>
          <w:rFonts w:ascii="Arial" w:hAnsi="Arial" w:cs="Arial"/>
        </w:rPr>
        <w:t>•</w:t>
      </w:r>
      <w:r>
        <w:rPr>
          <w:rFonts w:ascii="Arial" w:hAnsi="Arial" w:cs="Arial"/>
        </w:rPr>
        <w:t xml:space="preserve"> </w:t>
      </w:r>
      <w:r w:rsidRPr="00087E9E">
        <w:rPr>
          <w:rFonts w:ascii="Arial" w:hAnsi="Arial" w:cs="Arial"/>
        </w:rPr>
        <w:t>60% were used only once</w:t>
      </w:r>
    </w:p>
    <w:p w14:paraId="4EAEB6B4" w14:textId="7D56B7E0" w:rsidR="00087E9E" w:rsidRPr="00087E9E" w:rsidRDefault="00087E9E" w:rsidP="00087E9E">
      <w:pPr>
        <w:rPr>
          <w:rFonts w:ascii="Arial" w:hAnsi="Arial" w:cs="Arial"/>
        </w:rPr>
      </w:pPr>
      <w:r w:rsidRPr="00087E9E">
        <w:rPr>
          <w:rFonts w:ascii="Arial" w:hAnsi="Arial" w:cs="Arial"/>
        </w:rPr>
        <w:t>•</w:t>
      </w:r>
      <w:r>
        <w:rPr>
          <w:rFonts w:ascii="Arial" w:hAnsi="Arial" w:cs="Arial"/>
        </w:rPr>
        <w:t xml:space="preserve"> </w:t>
      </w:r>
      <w:r w:rsidRPr="00087E9E">
        <w:rPr>
          <w:rFonts w:ascii="Arial" w:hAnsi="Arial" w:cs="Arial"/>
        </w:rPr>
        <w:t>26 were ‘full spectrum’ theories/models/frameworks</w:t>
      </w:r>
    </w:p>
    <w:p w14:paraId="258F078E" w14:textId="19BB8489" w:rsidR="00087E9E" w:rsidRPr="00512D9C" w:rsidRDefault="00087E9E" w:rsidP="00512D9C">
      <w:pPr>
        <w:pStyle w:val="ListParagraph"/>
        <w:numPr>
          <w:ilvl w:val="0"/>
          <w:numId w:val="23"/>
        </w:numPr>
        <w:rPr>
          <w:rFonts w:ascii="Arial" w:hAnsi="Arial" w:cs="Arial"/>
        </w:rPr>
      </w:pPr>
      <w:proofErr w:type="spellStart"/>
      <w:r w:rsidRPr="00087E9E">
        <w:rPr>
          <w:rFonts w:ascii="Arial" w:hAnsi="Arial" w:cs="Arial"/>
        </w:rPr>
        <w:t>Strifler</w:t>
      </w:r>
      <w:proofErr w:type="spellEnd"/>
      <w:r w:rsidRPr="00087E9E">
        <w:rPr>
          <w:rFonts w:ascii="Arial" w:hAnsi="Arial" w:cs="Arial"/>
        </w:rPr>
        <w:t xml:space="preserve"> et al, under review</w:t>
      </w:r>
    </w:p>
    <w:p w14:paraId="7B2193C5" w14:textId="77777777" w:rsidR="00087E9E" w:rsidRDefault="00087E9E">
      <w:pPr>
        <w:rPr>
          <w:rFonts w:ascii="Arial" w:hAnsi="Arial" w:cs="Arial"/>
        </w:rPr>
      </w:pPr>
    </w:p>
    <w:p w14:paraId="3E7D1B4E" w14:textId="4422341C" w:rsidR="00575449" w:rsidRPr="00F3579F" w:rsidRDefault="00575449">
      <w:pPr>
        <w:rPr>
          <w:rFonts w:ascii="Arial" w:hAnsi="Arial" w:cs="Arial"/>
          <w:b/>
        </w:rPr>
      </w:pPr>
      <w:r w:rsidRPr="00F3579F">
        <w:rPr>
          <w:rFonts w:ascii="Arial" w:hAnsi="Arial" w:cs="Arial"/>
          <w:b/>
        </w:rPr>
        <w:t>Slide 34:</w:t>
      </w:r>
      <w:r w:rsidR="00F3579F">
        <w:rPr>
          <w:rFonts w:ascii="Arial" w:hAnsi="Arial" w:cs="Arial"/>
          <w:b/>
        </w:rPr>
        <w:t xml:space="preserve"> Summary</w:t>
      </w:r>
    </w:p>
    <w:p w14:paraId="05B052F0" w14:textId="4BE15C7B" w:rsidR="00F3579F" w:rsidRPr="00F3579F" w:rsidRDefault="00F3579F" w:rsidP="00F3579F">
      <w:pPr>
        <w:rPr>
          <w:rFonts w:ascii="Arial" w:hAnsi="Arial" w:cs="Arial"/>
        </w:rPr>
      </w:pPr>
      <w:r w:rsidRPr="00F3579F">
        <w:rPr>
          <w:rFonts w:ascii="Arial" w:hAnsi="Arial" w:cs="Arial"/>
        </w:rPr>
        <w:t>1.</w:t>
      </w:r>
      <w:r>
        <w:rPr>
          <w:rFonts w:ascii="Arial" w:hAnsi="Arial" w:cs="Arial"/>
        </w:rPr>
        <w:t xml:space="preserve"> </w:t>
      </w:r>
      <w:r w:rsidRPr="00F3579F">
        <w:rPr>
          <w:rFonts w:ascii="Arial" w:hAnsi="Arial" w:cs="Arial"/>
        </w:rPr>
        <w:t>Move beyond considering lack of knowledge as the key barrier to implementation</w:t>
      </w:r>
    </w:p>
    <w:p w14:paraId="586A6886" w14:textId="1FA5AFE1" w:rsidR="00F3579F" w:rsidRPr="00F3579F" w:rsidRDefault="00F3579F" w:rsidP="00F3579F">
      <w:pPr>
        <w:rPr>
          <w:rFonts w:ascii="Arial" w:hAnsi="Arial" w:cs="Arial"/>
        </w:rPr>
      </w:pPr>
      <w:r w:rsidRPr="00F3579F">
        <w:rPr>
          <w:rFonts w:ascii="Arial" w:hAnsi="Arial" w:cs="Arial"/>
        </w:rPr>
        <w:t>2.</w:t>
      </w:r>
      <w:r>
        <w:rPr>
          <w:rFonts w:ascii="Arial" w:hAnsi="Arial" w:cs="Arial"/>
        </w:rPr>
        <w:t xml:space="preserve"> </w:t>
      </w:r>
      <w:r w:rsidRPr="00F3579F">
        <w:rPr>
          <w:rFonts w:ascii="Arial" w:hAnsi="Arial" w:cs="Arial"/>
        </w:rPr>
        <w:t>Consider targets for implementation - Clinicians are not the only target</w:t>
      </w:r>
    </w:p>
    <w:p w14:paraId="0538C462" w14:textId="3259125F" w:rsidR="00F3579F" w:rsidRPr="00F3579F" w:rsidRDefault="00F3579F" w:rsidP="00F3579F">
      <w:pPr>
        <w:rPr>
          <w:rFonts w:ascii="Arial" w:hAnsi="Arial" w:cs="Arial"/>
        </w:rPr>
      </w:pPr>
      <w:r w:rsidRPr="00F3579F">
        <w:rPr>
          <w:rFonts w:ascii="Arial" w:hAnsi="Arial" w:cs="Arial"/>
        </w:rPr>
        <w:t>3.</w:t>
      </w:r>
      <w:r>
        <w:rPr>
          <w:rFonts w:ascii="Arial" w:hAnsi="Arial" w:cs="Arial"/>
        </w:rPr>
        <w:t xml:space="preserve"> </w:t>
      </w:r>
      <w:r w:rsidRPr="00F3579F">
        <w:rPr>
          <w:rFonts w:ascii="Arial" w:hAnsi="Arial" w:cs="Arial"/>
        </w:rPr>
        <w:t>Beware the ISLAGIATT principle</w:t>
      </w:r>
    </w:p>
    <w:p w14:paraId="6DD2A60F" w14:textId="1E2292DE" w:rsidR="00F3579F" w:rsidRPr="00F3579F" w:rsidRDefault="00F3579F" w:rsidP="00F3579F">
      <w:pPr>
        <w:rPr>
          <w:rFonts w:ascii="Arial" w:hAnsi="Arial" w:cs="Arial"/>
        </w:rPr>
      </w:pPr>
      <w:r w:rsidRPr="00F3579F">
        <w:rPr>
          <w:rFonts w:ascii="Arial" w:hAnsi="Arial" w:cs="Arial"/>
        </w:rPr>
        <w:t>4.</w:t>
      </w:r>
      <w:r>
        <w:rPr>
          <w:rFonts w:ascii="Arial" w:hAnsi="Arial" w:cs="Arial"/>
        </w:rPr>
        <w:t xml:space="preserve"> </w:t>
      </w:r>
      <w:r w:rsidRPr="00F3579F">
        <w:rPr>
          <w:rFonts w:ascii="Arial" w:hAnsi="Arial" w:cs="Arial"/>
        </w:rPr>
        <w:t>Consider sustainability from the beginning</w:t>
      </w:r>
    </w:p>
    <w:p w14:paraId="6F360118" w14:textId="50407160" w:rsidR="00F3579F" w:rsidRDefault="00F3579F" w:rsidP="00F91F3B">
      <w:pPr>
        <w:ind w:left="270" w:hanging="270"/>
        <w:rPr>
          <w:rFonts w:ascii="Arial" w:hAnsi="Arial" w:cs="Arial"/>
        </w:rPr>
      </w:pPr>
      <w:r w:rsidRPr="00F3579F">
        <w:rPr>
          <w:rFonts w:ascii="Arial" w:hAnsi="Arial" w:cs="Arial"/>
        </w:rPr>
        <w:t>5.</w:t>
      </w:r>
      <w:r>
        <w:rPr>
          <w:rFonts w:ascii="Arial" w:hAnsi="Arial" w:cs="Arial"/>
        </w:rPr>
        <w:t xml:space="preserve"> </w:t>
      </w:r>
      <w:r w:rsidRPr="00F3579F">
        <w:rPr>
          <w:rFonts w:ascii="Arial" w:hAnsi="Arial" w:cs="Arial"/>
        </w:rPr>
        <w:t>We don’t need another KT theory/model/framework and those that have been developed need to be tested</w:t>
      </w:r>
    </w:p>
    <w:p w14:paraId="05D4D747" w14:textId="77777777" w:rsidR="00F3579F" w:rsidRPr="00F3579F" w:rsidRDefault="00F3579F">
      <w:pPr>
        <w:rPr>
          <w:rFonts w:ascii="Arial" w:hAnsi="Arial" w:cs="Arial"/>
        </w:rPr>
      </w:pPr>
    </w:p>
    <w:p w14:paraId="7B54B64C" w14:textId="687E0F16" w:rsidR="003761AE" w:rsidRDefault="00F3579F">
      <w:pPr>
        <w:rPr>
          <w:rFonts w:ascii="Arial" w:hAnsi="Arial" w:cs="Arial"/>
          <w:b/>
        </w:rPr>
      </w:pPr>
      <w:r>
        <w:rPr>
          <w:rFonts w:ascii="Arial" w:hAnsi="Arial" w:cs="Arial"/>
          <w:b/>
        </w:rPr>
        <w:t>Slide 35:</w:t>
      </w:r>
      <w:r w:rsidR="00511F51">
        <w:rPr>
          <w:rFonts w:ascii="Arial" w:hAnsi="Arial" w:cs="Arial"/>
          <w:b/>
        </w:rPr>
        <w:t xml:space="preserve"> Acknowledgements</w:t>
      </w:r>
    </w:p>
    <w:p w14:paraId="6E497F4B" w14:textId="338F527F" w:rsidR="00511F51" w:rsidRPr="00511F51" w:rsidRDefault="00511F51" w:rsidP="00511F51">
      <w:pPr>
        <w:rPr>
          <w:rFonts w:ascii="Arial" w:hAnsi="Arial" w:cs="Arial"/>
        </w:rPr>
      </w:pPr>
      <w:r w:rsidRPr="00511F51">
        <w:rPr>
          <w:rFonts w:ascii="Arial" w:hAnsi="Arial" w:cs="Arial"/>
        </w:rPr>
        <w:t>•</w:t>
      </w:r>
      <w:r>
        <w:rPr>
          <w:rFonts w:ascii="Arial" w:hAnsi="Arial" w:cs="Arial"/>
        </w:rPr>
        <w:t xml:space="preserve"> </w:t>
      </w:r>
      <w:r w:rsidRPr="00511F51">
        <w:rPr>
          <w:rFonts w:ascii="Arial" w:hAnsi="Arial" w:cs="Arial"/>
        </w:rPr>
        <w:t>Dr. Julia Moore and our KT Program at St. Michael’s Hospital</w:t>
      </w:r>
    </w:p>
    <w:p w14:paraId="14A551FD" w14:textId="1C5C93C7" w:rsidR="00511F51" w:rsidRPr="00511F51" w:rsidRDefault="00511F51" w:rsidP="00511F51">
      <w:pPr>
        <w:rPr>
          <w:rFonts w:ascii="Arial" w:hAnsi="Arial" w:cs="Arial"/>
        </w:rPr>
      </w:pPr>
      <w:r w:rsidRPr="00511F51">
        <w:rPr>
          <w:rFonts w:ascii="Arial" w:hAnsi="Arial" w:cs="Arial"/>
        </w:rPr>
        <w:t>•</w:t>
      </w:r>
      <w:r>
        <w:rPr>
          <w:rFonts w:ascii="Arial" w:hAnsi="Arial" w:cs="Arial"/>
        </w:rPr>
        <w:t xml:space="preserve"> </w:t>
      </w:r>
      <w:r w:rsidRPr="00511F51">
        <w:rPr>
          <w:rFonts w:ascii="Arial" w:hAnsi="Arial" w:cs="Arial"/>
        </w:rPr>
        <w:t>KT Canada investigators</w:t>
      </w:r>
    </w:p>
    <w:p w14:paraId="1F7D565F" w14:textId="77777777" w:rsidR="00511F51" w:rsidRPr="00511F51" w:rsidRDefault="00511F51" w:rsidP="00511F51">
      <w:pPr>
        <w:rPr>
          <w:rFonts w:ascii="Arial" w:hAnsi="Arial" w:cs="Arial"/>
        </w:rPr>
      </w:pPr>
      <w:r w:rsidRPr="00511F51">
        <w:rPr>
          <w:rFonts w:ascii="Arial" w:hAnsi="Arial" w:cs="Arial"/>
        </w:rPr>
        <w:t xml:space="preserve">Evaluation: </w:t>
      </w:r>
    </w:p>
    <w:p w14:paraId="266732EF" w14:textId="1996005E" w:rsidR="00511F51" w:rsidRPr="00511F51" w:rsidRDefault="00563684" w:rsidP="00511F51">
      <w:pPr>
        <w:rPr>
          <w:rFonts w:ascii="Arial" w:hAnsi="Arial" w:cs="Arial"/>
        </w:rPr>
      </w:pPr>
      <w:hyperlink r:id="rId11" w:history="1">
        <w:r w:rsidR="00BC5E88" w:rsidRPr="00D038A7">
          <w:rPr>
            <w:rStyle w:val="Hyperlink"/>
            <w:rFonts w:ascii="Arial" w:hAnsi="Arial" w:cs="Arial"/>
          </w:rPr>
          <w:t>http://www.surveygizmo.com/s3/4100307/Evaluation-KT-Canada</w:t>
        </w:r>
      </w:hyperlink>
    </w:p>
    <w:p w14:paraId="50B202A7" w14:textId="77777777" w:rsidR="00560D41" w:rsidRDefault="00560D41">
      <w:pPr>
        <w:rPr>
          <w:rFonts w:ascii="Arial" w:hAnsi="Arial" w:cs="Arial"/>
          <w:b/>
        </w:rPr>
      </w:pPr>
    </w:p>
    <w:p w14:paraId="1A1D7AF8" w14:textId="6F01FE78" w:rsidR="009878AA" w:rsidRPr="00292430" w:rsidRDefault="009878AA">
      <w:pPr>
        <w:rPr>
          <w:rFonts w:ascii="Arial" w:hAnsi="Arial" w:cs="Arial"/>
        </w:rPr>
      </w:pPr>
      <w:r w:rsidRPr="00292430">
        <w:rPr>
          <w:rFonts w:ascii="Arial" w:hAnsi="Arial" w:cs="Arial"/>
          <w:b/>
        </w:rPr>
        <w:t xml:space="preserve">Slide </w:t>
      </w:r>
      <w:r w:rsidR="00A0371F">
        <w:rPr>
          <w:rFonts w:ascii="Arial" w:hAnsi="Arial" w:cs="Arial"/>
          <w:b/>
        </w:rPr>
        <w:t>1</w:t>
      </w:r>
      <w:r w:rsidR="00086184">
        <w:rPr>
          <w:rFonts w:ascii="Arial" w:hAnsi="Arial" w:cs="Arial"/>
          <w:b/>
        </w:rPr>
        <w:t>5</w:t>
      </w:r>
      <w:r w:rsidRPr="00292430">
        <w:rPr>
          <w:rFonts w:ascii="Arial" w:hAnsi="Arial" w:cs="Arial"/>
        </w:rPr>
        <w:t>:</w:t>
      </w:r>
      <w:r w:rsidR="008B33B9" w:rsidRPr="00292430">
        <w:rPr>
          <w:rFonts w:ascii="Arial" w:hAnsi="Arial" w:cs="Arial"/>
        </w:rPr>
        <w:t xml:space="preserve"> </w:t>
      </w:r>
      <w:r w:rsidR="008B33B9" w:rsidRPr="00292430">
        <w:rPr>
          <w:rFonts w:ascii="Arial" w:hAnsi="Arial" w:cs="Arial"/>
          <w:b/>
        </w:rPr>
        <w:t>Disclaimer</w:t>
      </w:r>
    </w:p>
    <w:p w14:paraId="68FEF0A4" w14:textId="77777777" w:rsidR="008B33B9" w:rsidRPr="00292430" w:rsidRDefault="008B33B9" w:rsidP="008B33B9">
      <w:pPr>
        <w:rPr>
          <w:rFonts w:ascii="Arial" w:hAnsi="Arial" w:cs="Arial"/>
        </w:rPr>
      </w:pPr>
      <w:r w:rsidRPr="00292430">
        <w:rPr>
          <w:rFonts w:ascii="Arial" w:hAnsi="Arial" w:cs="Arial"/>
        </w:rPr>
        <w:t xml:space="preserve">The contents of this presentation were developed by the EPPI-Centre for grant number 90DP0027 from the National Institute on Disability, Independent Living, and Rehabilitation Research (NIDILRR). NIDILRR is a Center within the Administration for Community Living (ACL), Department of Health and Human Services (HHS). The contents of this presentation do not necessarily represent the policy of NIDILRR, ACL, HHS, and you should not assume endorsement by the Federal Government. </w:t>
      </w:r>
    </w:p>
    <w:p w14:paraId="582A3382" w14:textId="706BB29A" w:rsidR="009A4BEC" w:rsidRPr="00292430" w:rsidRDefault="009B3AFD" w:rsidP="008B33B9">
      <w:pPr>
        <w:rPr>
          <w:rFonts w:ascii="Arial" w:hAnsi="Arial" w:cs="Arial"/>
        </w:rPr>
      </w:pPr>
      <w:r>
        <w:rPr>
          <w:rFonts w:ascii="Arial" w:hAnsi="Arial" w:cs="Arial"/>
        </w:rPr>
        <w:t xml:space="preserve">Bottom left </w:t>
      </w:r>
      <w:r w:rsidR="009A4BEC" w:rsidRPr="00292430">
        <w:rPr>
          <w:rFonts w:ascii="Arial" w:hAnsi="Arial" w:cs="Arial"/>
        </w:rPr>
        <w:t xml:space="preserve">AIR logo: </w:t>
      </w:r>
      <w:r w:rsidRPr="001F746D">
        <w:rPr>
          <w:rFonts w:ascii="Arial" w:hAnsi="Arial" w:cs="Arial"/>
        </w:rPr>
        <w:t>gray and blue column on left; letters in blue, AIR (R) on the right; words below in blue, American Institutes for Research (R).</w:t>
      </w:r>
    </w:p>
    <w:p w14:paraId="7729842C" w14:textId="77777777" w:rsidR="008B7DA8" w:rsidRPr="006A4F41" w:rsidRDefault="008B7DA8">
      <w:pPr>
        <w:rPr>
          <w:rFonts w:ascii="Arial" w:hAnsi="Arial" w:cs="Arial"/>
        </w:rPr>
      </w:pPr>
    </w:p>
    <w:sectPr w:rsidR="008B7DA8" w:rsidRPr="006A4F41" w:rsidSect="00FA1060">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9EDCB" w14:textId="77777777" w:rsidR="00563684" w:rsidRDefault="00563684" w:rsidP="00D01230">
      <w:r>
        <w:separator/>
      </w:r>
    </w:p>
  </w:endnote>
  <w:endnote w:type="continuationSeparator" w:id="0">
    <w:p w14:paraId="563FA5E5" w14:textId="77777777" w:rsidR="00563684" w:rsidRDefault="00563684" w:rsidP="00D0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3420"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D4C41" w14:textId="77777777" w:rsidR="00D01230" w:rsidRDefault="00D01230" w:rsidP="00D012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AEB1"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E68">
      <w:rPr>
        <w:rStyle w:val="PageNumber"/>
        <w:noProof/>
      </w:rPr>
      <w:t>8</w:t>
    </w:r>
    <w:r>
      <w:rPr>
        <w:rStyle w:val="PageNumber"/>
      </w:rPr>
      <w:fldChar w:fldCharType="end"/>
    </w:r>
  </w:p>
  <w:p w14:paraId="24BA4FF8" w14:textId="77777777" w:rsidR="00D01230" w:rsidRDefault="00D01230" w:rsidP="00D012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1998A" w14:textId="77777777" w:rsidR="00563684" w:rsidRDefault="00563684" w:rsidP="00D01230">
      <w:r>
        <w:separator/>
      </w:r>
    </w:p>
  </w:footnote>
  <w:footnote w:type="continuationSeparator" w:id="0">
    <w:p w14:paraId="160B10EC" w14:textId="77777777" w:rsidR="00563684" w:rsidRDefault="00563684" w:rsidP="00D01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4FEB"/>
    <w:multiLevelType w:val="hybridMultilevel"/>
    <w:tmpl w:val="CF00B082"/>
    <w:lvl w:ilvl="0" w:tplc="39D868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C6896"/>
    <w:multiLevelType w:val="hybridMultilevel"/>
    <w:tmpl w:val="31EA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56736"/>
    <w:multiLevelType w:val="hybridMultilevel"/>
    <w:tmpl w:val="B4C809B6"/>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A7014"/>
    <w:multiLevelType w:val="hybridMultilevel"/>
    <w:tmpl w:val="1BC22EF4"/>
    <w:lvl w:ilvl="0" w:tplc="4BBA7AF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7636533"/>
    <w:multiLevelType w:val="hybridMultilevel"/>
    <w:tmpl w:val="6642732C"/>
    <w:lvl w:ilvl="0" w:tplc="39D86854">
      <w:start w:val="5"/>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6F18BE"/>
    <w:multiLevelType w:val="hybridMultilevel"/>
    <w:tmpl w:val="AFB2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64DAA"/>
    <w:multiLevelType w:val="hybridMultilevel"/>
    <w:tmpl w:val="91107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84D70"/>
    <w:multiLevelType w:val="hybridMultilevel"/>
    <w:tmpl w:val="19F63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80969"/>
    <w:multiLevelType w:val="hybridMultilevel"/>
    <w:tmpl w:val="D852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50050"/>
    <w:multiLevelType w:val="hybridMultilevel"/>
    <w:tmpl w:val="7BB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F1ABB"/>
    <w:multiLevelType w:val="hybridMultilevel"/>
    <w:tmpl w:val="D48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36631"/>
    <w:multiLevelType w:val="hybridMultilevel"/>
    <w:tmpl w:val="575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121F0"/>
    <w:multiLevelType w:val="hybridMultilevel"/>
    <w:tmpl w:val="37726A4E"/>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F92A8C"/>
    <w:multiLevelType w:val="hybridMultilevel"/>
    <w:tmpl w:val="0C36E726"/>
    <w:lvl w:ilvl="0" w:tplc="39D868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E51B0"/>
    <w:multiLevelType w:val="hybridMultilevel"/>
    <w:tmpl w:val="C8781EB4"/>
    <w:lvl w:ilvl="0" w:tplc="39D86854">
      <w:start w:val="5"/>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2433B9"/>
    <w:multiLevelType w:val="hybridMultilevel"/>
    <w:tmpl w:val="02F85B14"/>
    <w:lvl w:ilvl="0" w:tplc="39D86854">
      <w:start w:val="5"/>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A862D80"/>
    <w:multiLevelType w:val="hybridMultilevel"/>
    <w:tmpl w:val="8E640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535E1A"/>
    <w:multiLevelType w:val="hybridMultilevel"/>
    <w:tmpl w:val="C70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C3D8A"/>
    <w:multiLevelType w:val="hybridMultilevel"/>
    <w:tmpl w:val="B3A40CC4"/>
    <w:lvl w:ilvl="0" w:tplc="227C42B0">
      <w:start w:val="5"/>
      <w:numFmt w:val="bullet"/>
      <w:lvlText w:val="–"/>
      <w:lvlJc w:val="left"/>
      <w:pPr>
        <w:ind w:left="720" w:hanging="360"/>
      </w:pPr>
      <w:rPr>
        <w:rFonts w:ascii="Arial" w:eastAsiaTheme="minorHAnsi" w:hAnsi="Arial" w:cs="Arial" w:hint="default"/>
      </w:rPr>
    </w:lvl>
    <w:lvl w:ilvl="1" w:tplc="227C42B0">
      <w:start w:val="5"/>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E6836"/>
    <w:multiLevelType w:val="hybridMultilevel"/>
    <w:tmpl w:val="590EE5CA"/>
    <w:lvl w:ilvl="0" w:tplc="39D868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84A30"/>
    <w:multiLevelType w:val="hybridMultilevel"/>
    <w:tmpl w:val="C02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705B4"/>
    <w:multiLevelType w:val="hybridMultilevel"/>
    <w:tmpl w:val="0D8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57BB6C52"/>
    <w:multiLevelType w:val="hybridMultilevel"/>
    <w:tmpl w:val="8EF83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46428"/>
    <w:multiLevelType w:val="hybridMultilevel"/>
    <w:tmpl w:val="581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A697E"/>
    <w:multiLevelType w:val="hybridMultilevel"/>
    <w:tmpl w:val="9CA4E7E8"/>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97F7C"/>
    <w:multiLevelType w:val="hybridMultilevel"/>
    <w:tmpl w:val="0FF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02CA1"/>
    <w:multiLevelType w:val="hybridMultilevel"/>
    <w:tmpl w:val="E7BEE352"/>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30425"/>
    <w:multiLevelType w:val="hybridMultilevel"/>
    <w:tmpl w:val="6C0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117B76"/>
    <w:multiLevelType w:val="hybridMultilevel"/>
    <w:tmpl w:val="58DEC50E"/>
    <w:lvl w:ilvl="0" w:tplc="204691B4">
      <w:start w:val="1"/>
      <w:numFmt w:val="bullet"/>
      <w:lvlText w:val="•"/>
      <w:lvlJc w:val="left"/>
      <w:pPr>
        <w:tabs>
          <w:tab w:val="num" w:pos="720"/>
        </w:tabs>
        <w:ind w:left="720" w:hanging="360"/>
      </w:pPr>
      <w:rPr>
        <w:rFonts w:ascii="Arial" w:hAnsi="Arial" w:hint="default"/>
      </w:rPr>
    </w:lvl>
    <w:lvl w:ilvl="1" w:tplc="4F88AE8E" w:tentative="1">
      <w:start w:val="1"/>
      <w:numFmt w:val="bullet"/>
      <w:lvlText w:val="•"/>
      <w:lvlJc w:val="left"/>
      <w:pPr>
        <w:tabs>
          <w:tab w:val="num" w:pos="1440"/>
        </w:tabs>
        <w:ind w:left="1440" w:hanging="360"/>
      </w:pPr>
      <w:rPr>
        <w:rFonts w:ascii="Arial" w:hAnsi="Arial" w:hint="default"/>
      </w:rPr>
    </w:lvl>
    <w:lvl w:ilvl="2" w:tplc="23665CCE" w:tentative="1">
      <w:start w:val="1"/>
      <w:numFmt w:val="bullet"/>
      <w:lvlText w:val="•"/>
      <w:lvlJc w:val="left"/>
      <w:pPr>
        <w:tabs>
          <w:tab w:val="num" w:pos="2160"/>
        </w:tabs>
        <w:ind w:left="2160" w:hanging="360"/>
      </w:pPr>
      <w:rPr>
        <w:rFonts w:ascii="Arial" w:hAnsi="Arial" w:hint="default"/>
      </w:rPr>
    </w:lvl>
    <w:lvl w:ilvl="3" w:tplc="C304E9DE" w:tentative="1">
      <w:start w:val="1"/>
      <w:numFmt w:val="bullet"/>
      <w:lvlText w:val="•"/>
      <w:lvlJc w:val="left"/>
      <w:pPr>
        <w:tabs>
          <w:tab w:val="num" w:pos="2880"/>
        </w:tabs>
        <w:ind w:left="2880" w:hanging="360"/>
      </w:pPr>
      <w:rPr>
        <w:rFonts w:ascii="Arial" w:hAnsi="Arial" w:hint="default"/>
      </w:rPr>
    </w:lvl>
    <w:lvl w:ilvl="4" w:tplc="933841DC" w:tentative="1">
      <w:start w:val="1"/>
      <w:numFmt w:val="bullet"/>
      <w:lvlText w:val="•"/>
      <w:lvlJc w:val="left"/>
      <w:pPr>
        <w:tabs>
          <w:tab w:val="num" w:pos="3600"/>
        </w:tabs>
        <w:ind w:left="3600" w:hanging="360"/>
      </w:pPr>
      <w:rPr>
        <w:rFonts w:ascii="Arial" w:hAnsi="Arial" w:hint="default"/>
      </w:rPr>
    </w:lvl>
    <w:lvl w:ilvl="5" w:tplc="F768E94E" w:tentative="1">
      <w:start w:val="1"/>
      <w:numFmt w:val="bullet"/>
      <w:lvlText w:val="•"/>
      <w:lvlJc w:val="left"/>
      <w:pPr>
        <w:tabs>
          <w:tab w:val="num" w:pos="4320"/>
        </w:tabs>
        <w:ind w:left="4320" w:hanging="360"/>
      </w:pPr>
      <w:rPr>
        <w:rFonts w:ascii="Arial" w:hAnsi="Arial" w:hint="default"/>
      </w:rPr>
    </w:lvl>
    <w:lvl w:ilvl="6" w:tplc="E3389B7C" w:tentative="1">
      <w:start w:val="1"/>
      <w:numFmt w:val="bullet"/>
      <w:lvlText w:val="•"/>
      <w:lvlJc w:val="left"/>
      <w:pPr>
        <w:tabs>
          <w:tab w:val="num" w:pos="5040"/>
        </w:tabs>
        <w:ind w:left="5040" w:hanging="360"/>
      </w:pPr>
      <w:rPr>
        <w:rFonts w:ascii="Arial" w:hAnsi="Arial" w:hint="default"/>
      </w:rPr>
    </w:lvl>
    <w:lvl w:ilvl="7" w:tplc="64E87A1E" w:tentative="1">
      <w:start w:val="1"/>
      <w:numFmt w:val="bullet"/>
      <w:lvlText w:val="•"/>
      <w:lvlJc w:val="left"/>
      <w:pPr>
        <w:tabs>
          <w:tab w:val="num" w:pos="5760"/>
        </w:tabs>
        <w:ind w:left="5760" w:hanging="360"/>
      </w:pPr>
      <w:rPr>
        <w:rFonts w:ascii="Arial" w:hAnsi="Arial" w:hint="default"/>
      </w:rPr>
    </w:lvl>
    <w:lvl w:ilvl="8" w:tplc="6D04945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6E4FD3"/>
    <w:multiLevelType w:val="hybridMultilevel"/>
    <w:tmpl w:val="5356641C"/>
    <w:lvl w:ilvl="0" w:tplc="39D86854">
      <w:start w:val="5"/>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FCD3441"/>
    <w:multiLevelType w:val="hybridMultilevel"/>
    <w:tmpl w:val="B652FAD8"/>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2"/>
  </w:num>
  <w:num w:numId="4">
    <w:abstractNumId w:val="25"/>
  </w:num>
  <w:num w:numId="5">
    <w:abstractNumId w:val="6"/>
  </w:num>
  <w:num w:numId="6">
    <w:abstractNumId w:val="3"/>
  </w:num>
  <w:num w:numId="7">
    <w:abstractNumId w:val="21"/>
  </w:num>
  <w:num w:numId="8">
    <w:abstractNumId w:val="2"/>
  </w:num>
  <w:num w:numId="9">
    <w:abstractNumId w:val="27"/>
  </w:num>
  <w:num w:numId="10">
    <w:abstractNumId w:val="5"/>
  </w:num>
  <w:num w:numId="11">
    <w:abstractNumId w:val="7"/>
  </w:num>
  <w:num w:numId="12">
    <w:abstractNumId w:val="24"/>
  </w:num>
  <w:num w:numId="13">
    <w:abstractNumId w:val="30"/>
  </w:num>
  <w:num w:numId="14">
    <w:abstractNumId w:val="20"/>
  </w:num>
  <w:num w:numId="15">
    <w:abstractNumId w:val="23"/>
  </w:num>
  <w:num w:numId="16">
    <w:abstractNumId w:val="17"/>
  </w:num>
  <w:num w:numId="17">
    <w:abstractNumId w:val="8"/>
  </w:num>
  <w:num w:numId="18">
    <w:abstractNumId w:val="10"/>
  </w:num>
  <w:num w:numId="19">
    <w:abstractNumId w:val="11"/>
  </w:num>
  <w:num w:numId="20">
    <w:abstractNumId w:val="9"/>
  </w:num>
  <w:num w:numId="21">
    <w:abstractNumId w:val="1"/>
  </w:num>
  <w:num w:numId="22">
    <w:abstractNumId w:val="0"/>
  </w:num>
  <w:num w:numId="23">
    <w:abstractNumId w:val="18"/>
  </w:num>
  <w:num w:numId="24">
    <w:abstractNumId w:val="16"/>
  </w:num>
  <w:num w:numId="25">
    <w:abstractNumId w:val="15"/>
  </w:num>
  <w:num w:numId="26">
    <w:abstractNumId w:val="4"/>
  </w:num>
  <w:num w:numId="27">
    <w:abstractNumId w:val="29"/>
  </w:num>
  <w:num w:numId="28">
    <w:abstractNumId w:val="14"/>
  </w:num>
  <w:num w:numId="29">
    <w:abstractNumId w:val="13"/>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FC"/>
    <w:rsid w:val="00015469"/>
    <w:rsid w:val="000248E3"/>
    <w:rsid w:val="000307DF"/>
    <w:rsid w:val="00033A2C"/>
    <w:rsid w:val="000354CD"/>
    <w:rsid w:val="0003782A"/>
    <w:rsid w:val="00047440"/>
    <w:rsid w:val="00053B51"/>
    <w:rsid w:val="000606B2"/>
    <w:rsid w:val="0006105A"/>
    <w:rsid w:val="000646EC"/>
    <w:rsid w:val="00076C7B"/>
    <w:rsid w:val="00084F3F"/>
    <w:rsid w:val="00086184"/>
    <w:rsid w:val="00087E9E"/>
    <w:rsid w:val="000910FC"/>
    <w:rsid w:val="00091814"/>
    <w:rsid w:val="0009451C"/>
    <w:rsid w:val="000A2497"/>
    <w:rsid w:val="000B5B6A"/>
    <w:rsid w:val="000C0A51"/>
    <w:rsid w:val="000C62FD"/>
    <w:rsid w:val="000E5450"/>
    <w:rsid w:val="000F26F1"/>
    <w:rsid w:val="0011153C"/>
    <w:rsid w:val="00113938"/>
    <w:rsid w:val="00115E47"/>
    <w:rsid w:val="001166EC"/>
    <w:rsid w:val="001207E1"/>
    <w:rsid w:val="00126D68"/>
    <w:rsid w:val="00130E72"/>
    <w:rsid w:val="00131CFA"/>
    <w:rsid w:val="0013214F"/>
    <w:rsid w:val="00133140"/>
    <w:rsid w:val="00134574"/>
    <w:rsid w:val="00134E0B"/>
    <w:rsid w:val="00141829"/>
    <w:rsid w:val="00150F21"/>
    <w:rsid w:val="00151FDE"/>
    <w:rsid w:val="00166DD5"/>
    <w:rsid w:val="00170A85"/>
    <w:rsid w:val="001811F4"/>
    <w:rsid w:val="00197F7C"/>
    <w:rsid w:val="001C2E9D"/>
    <w:rsid w:val="001D3BE9"/>
    <w:rsid w:val="001D7331"/>
    <w:rsid w:val="001E47D5"/>
    <w:rsid w:val="001E4B03"/>
    <w:rsid w:val="001E78AF"/>
    <w:rsid w:val="001E7D11"/>
    <w:rsid w:val="001F746D"/>
    <w:rsid w:val="0020046A"/>
    <w:rsid w:val="002037B8"/>
    <w:rsid w:val="00207071"/>
    <w:rsid w:val="00211A5C"/>
    <w:rsid w:val="002134D0"/>
    <w:rsid w:val="00213ADD"/>
    <w:rsid w:val="002222AB"/>
    <w:rsid w:val="00233B5F"/>
    <w:rsid w:val="002467F6"/>
    <w:rsid w:val="002525D5"/>
    <w:rsid w:val="00272B52"/>
    <w:rsid w:val="002772AE"/>
    <w:rsid w:val="00283501"/>
    <w:rsid w:val="00292430"/>
    <w:rsid w:val="002A25AF"/>
    <w:rsid w:val="002A3304"/>
    <w:rsid w:val="002B3D78"/>
    <w:rsid w:val="002C111D"/>
    <w:rsid w:val="002C3AFF"/>
    <w:rsid w:val="002C4E72"/>
    <w:rsid w:val="002E5920"/>
    <w:rsid w:val="002E618B"/>
    <w:rsid w:val="003060EF"/>
    <w:rsid w:val="003069D9"/>
    <w:rsid w:val="003104CB"/>
    <w:rsid w:val="00311C43"/>
    <w:rsid w:val="00312974"/>
    <w:rsid w:val="003200E3"/>
    <w:rsid w:val="003319A3"/>
    <w:rsid w:val="003331E0"/>
    <w:rsid w:val="00337CE9"/>
    <w:rsid w:val="0034308C"/>
    <w:rsid w:val="00343A7F"/>
    <w:rsid w:val="003555A8"/>
    <w:rsid w:val="00360303"/>
    <w:rsid w:val="00366A01"/>
    <w:rsid w:val="00366E68"/>
    <w:rsid w:val="00367725"/>
    <w:rsid w:val="0037114F"/>
    <w:rsid w:val="003761AE"/>
    <w:rsid w:val="00382A17"/>
    <w:rsid w:val="00385A30"/>
    <w:rsid w:val="00386756"/>
    <w:rsid w:val="0038729F"/>
    <w:rsid w:val="003924D2"/>
    <w:rsid w:val="00397638"/>
    <w:rsid w:val="003A7C93"/>
    <w:rsid w:val="003B1678"/>
    <w:rsid w:val="003C4988"/>
    <w:rsid w:val="003D59A9"/>
    <w:rsid w:val="003E2C7A"/>
    <w:rsid w:val="003F4237"/>
    <w:rsid w:val="003F7E03"/>
    <w:rsid w:val="00406F9D"/>
    <w:rsid w:val="00410181"/>
    <w:rsid w:val="004133DB"/>
    <w:rsid w:val="00415146"/>
    <w:rsid w:val="0042573F"/>
    <w:rsid w:val="004506F5"/>
    <w:rsid w:val="00486A87"/>
    <w:rsid w:val="00491981"/>
    <w:rsid w:val="00492D36"/>
    <w:rsid w:val="004977A6"/>
    <w:rsid w:val="004A3285"/>
    <w:rsid w:val="004B0FAA"/>
    <w:rsid w:val="004B5C67"/>
    <w:rsid w:val="004C2A53"/>
    <w:rsid w:val="004C57B3"/>
    <w:rsid w:val="004D664D"/>
    <w:rsid w:val="004F6D2B"/>
    <w:rsid w:val="0050396E"/>
    <w:rsid w:val="00506577"/>
    <w:rsid w:val="00511F51"/>
    <w:rsid w:val="00512D9C"/>
    <w:rsid w:val="00513E9B"/>
    <w:rsid w:val="00517173"/>
    <w:rsid w:val="00517E5B"/>
    <w:rsid w:val="00524599"/>
    <w:rsid w:val="0052706E"/>
    <w:rsid w:val="005305B5"/>
    <w:rsid w:val="0053085B"/>
    <w:rsid w:val="00536AA4"/>
    <w:rsid w:val="00537482"/>
    <w:rsid w:val="00550933"/>
    <w:rsid w:val="00554627"/>
    <w:rsid w:val="00560D41"/>
    <w:rsid w:val="005630CA"/>
    <w:rsid w:val="0056350E"/>
    <w:rsid w:val="00563684"/>
    <w:rsid w:val="00575449"/>
    <w:rsid w:val="00581FEF"/>
    <w:rsid w:val="005820FC"/>
    <w:rsid w:val="0058430E"/>
    <w:rsid w:val="00590C41"/>
    <w:rsid w:val="005952D6"/>
    <w:rsid w:val="005A61CF"/>
    <w:rsid w:val="005A71C4"/>
    <w:rsid w:val="005E17A1"/>
    <w:rsid w:val="005F0103"/>
    <w:rsid w:val="005F2B90"/>
    <w:rsid w:val="00600637"/>
    <w:rsid w:val="00602ABB"/>
    <w:rsid w:val="00614D15"/>
    <w:rsid w:val="006464C3"/>
    <w:rsid w:val="0066027C"/>
    <w:rsid w:val="00666FF1"/>
    <w:rsid w:val="00670791"/>
    <w:rsid w:val="00673DC8"/>
    <w:rsid w:val="00676636"/>
    <w:rsid w:val="00685838"/>
    <w:rsid w:val="00685C0B"/>
    <w:rsid w:val="00691119"/>
    <w:rsid w:val="00692F9A"/>
    <w:rsid w:val="006A071D"/>
    <w:rsid w:val="006A4F41"/>
    <w:rsid w:val="006B17AA"/>
    <w:rsid w:val="006B1E3C"/>
    <w:rsid w:val="006C0926"/>
    <w:rsid w:val="006C187D"/>
    <w:rsid w:val="006C5F2D"/>
    <w:rsid w:val="006C696D"/>
    <w:rsid w:val="006C7915"/>
    <w:rsid w:val="006D0498"/>
    <w:rsid w:val="006D6D86"/>
    <w:rsid w:val="006E2311"/>
    <w:rsid w:val="00702855"/>
    <w:rsid w:val="00703C78"/>
    <w:rsid w:val="00723863"/>
    <w:rsid w:val="007373BF"/>
    <w:rsid w:val="007400AA"/>
    <w:rsid w:val="00751F26"/>
    <w:rsid w:val="00767AA3"/>
    <w:rsid w:val="00780277"/>
    <w:rsid w:val="007824E6"/>
    <w:rsid w:val="0078369A"/>
    <w:rsid w:val="007B0F75"/>
    <w:rsid w:val="007B404D"/>
    <w:rsid w:val="007C7682"/>
    <w:rsid w:val="007D499A"/>
    <w:rsid w:val="007E3168"/>
    <w:rsid w:val="007F17D3"/>
    <w:rsid w:val="007F5E8F"/>
    <w:rsid w:val="00804F58"/>
    <w:rsid w:val="008059B6"/>
    <w:rsid w:val="00813582"/>
    <w:rsid w:val="00814952"/>
    <w:rsid w:val="00832CED"/>
    <w:rsid w:val="008357C9"/>
    <w:rsid w:val="008479F6"/>
    <w:rsid w:val="00856264"/>
    <w:rsid w:val="00856DEE"/>
    <w:rsid w:val="008648C3"/>
    <w:rsid w:val="00864D57"/>
    <w:rsid w:val="008820ED"/>
    <w:rsid w:val="00883B59"/>
    <w:rsid w:val="00891EB4"/>
    <w:rsid w:val="008B0713"/>
    <w:rsid w:val="008B33B9"/>
    <w:rsid w:val="008B4997"/>
    <w:rsid w:val="008B7DA8"/>
    <w:rsid w:val="008D7ED3"/>
    <w:rsid w:val="008E452A"/>
    <w:rsid w:val="008F0E10"/>
    <w:rsid w:val="008F130E"/>
    <w:rsid w:val="008F31D1"/>
    <w:rsid w:val="00916211"/>
    <w:rsid w:val="00931F4E"/>
    <w:rsid w:val="00942280"/>
    <w:rsid w:val="00943686"/>
    <w:rsid w:val="009471F9"/>
    <w:rsid w:val="00953E3F"/>
    <w:rsid w:val="00970A20"/>
    <w:rsid w:val="009878AA"/>
    <w:rsid w:val="009A4BEC"/>
    <w:rsid w:val="009B093D"/>
    <w:rsid w:val="009B3AFD"/>
    <w:rsid w:val="009C2841"/>
    <w:rsid w:val="009C4BF3"/>
    <w:rsid w:val="009D02A8"/>
    <w:rsid w:val="009E2484"/>
    <w:rsid w:val="009F6B3A"/>
    <w:rsid w:val="009F7355"/>
    <w:rsid w:val="009F774E"/>
    <w:rsid w:val="00A0371F"/>
    <w:rsid w:val="00A05E03"/>
    <w:rsid w:val="00A11028"/>
    <w:rsid w:val="00A219AD"/>
    <w:rsid w:val="00A23A99"/>
    <w:rsid w:val="00A26D9F"/>
    <w:rsid w:val="00A424F3"/>
    <w:rsid w:val="00A4349E"/>
    <w:rsid w:val="00A47478"/>
    <w:rsid w:val="00A54066"/>
    <w:rsid w:val="00A67144"/>
    <w:rsid w:val="00A703D0"/>
    <w:rsid w:val="00A75DE0"/>
    <w:rsid w:val="00A76D5D"/>
    <w:rsid w:val="00A8072A"/>
    <w:rsid w:val="00A8134F"/>
    <w:rsid w:val="00A96128"/>
    <w:rsid w:val="00AA1C07"/>
    <w:rsid w:val="00AB41FF"/>
    <w:rsid w:val="00AC7107"/>
    <w:rsid w:val="00AE1D22"/>
    <w:rsid w:val="00AE2DFD"/>
    <w:rsid w:val="00AF4A13"/>
    <w:rsid w:val="00B0231A"/>
    <w:rsid w:val="00B02F97"/>
    <w:rsid w:val="00B13DE1"/>
    <w:rsid w:val="00B15262"/>
    <w:rsid w:val="00B23350"/>
    <w:rsid w:val="00B2523D"/>
    <w:rsid w:val="00B35BB3"/>
    <w:rsid w:val="00B36DFC"/>
    <w:rsid w:val="00B421F0"/>
    <w:rsid w:val="00B45153"/>
    <w:rsid w:val="00B701BA"/>
    <w:rsid w:val="00B83A19"/>
    <w:rsid w:val="00B87066"/>
    <w:rsid w:val="00B91516"/>
    <w:rsid w:val="00B94B66"/>
    <w:rsid w:val="00BC2EDF"/>
    <w:rsid w:val="00BC3ED1"/>
    <w:rsid w:val="00BC432A"/>
    <w:rsid w:val="00BC4453"/>
    <w:rsid w:val="00BC5E88"/>
    <w:rsid w:val="00BD020D"/>
    <w:rsid w:val="00BD0F30"/>
    <w:rsid w:val="00BD6EF4"/>
    <w:rsid w:val="00BE2BC5"/>
    <w:rsid w:val="00BE5EFC"/>
    <w:rsid w:val="00BF1A43"/>
    <w:rsid w:val="00C05955"/>
    <w:rsid w:val="00C10B91"/>
    <w:rsid w:val="00C2651B"/>
    <w:rsid w:val="00C26DEA"/>
    <w:rsid w:val="00C31CC1"/>
    <w:rsid w:val="00C40178"/>
    <w:rsid w:val="00C57F46"/>
    <w:rsid w:val="00C65E59"/>
    <w:rsid w:val="00C70E6A"/>
    <w:rsid w:val="00C77D6A"/>
    <w:rsid w:val="00C82CDE"/>
    <w:rsid w:val="00C9146F"/>
    <w:rsid w:val="00CC703F"/>
    <w:rsid w:val="00CD7373"/>
    <w:rsid w:val="00CE321E"/>
    <w:rsid w:val="00D01230"/>
    <w:rsid w:val="00D05D51"/>
    <w:rsid w:val="00D276EF"/>
    <w:rsid w:val="00D34161"/>
    <w:rsid w:val="00D43FC8"/>
    <w:rsid w:val="00D6023D"/>
    <w:rsid w:val="00D61F6C"/>
    <w:rsid w:val="00D7375D"/>
    <w:rsid w:val="00D820EC"/>
    <w:rsid w:val="00D85E46"/>
    <w:rsid w:val="00D861E9"/>
    <w:rsid w:val="00DA5532"/>
    <w:rsid w:val="00DC48DE"/>
    <w:rsid w:val="00DD607C"/>
    <w:rsid w:val="00DE0814"/>
    <w:rsid w:val="00DF6505"/>
    <w:rsid w:val="00E00B1A"/>
    <w:rsid w:val="00E05180"/>
    <w:rsid w:val="00E075E4"/>
    <w:rsid w:val="00E1075F"/>
    <w:rsid w:val="00E13B25"/>
    <w:rsid w:val="00E13E98"/>
    <w:rsid w:val="00E37647"/>
    <w:rsid w:val="00E405AC"/>
    <w:rsid w:val="00E54A7C"/>
    <w:rsid w:val="00E62216"/>
    <w:rsid w:val="00E67781"/>
    <w:rsid w:val="00E77836"/>
    <w:rsid w:val="00E77A03"/>
    <w:rsid w:val="00E924F1"/>
    <w:rsid w:val="00E95F42"/>
    <w:rsid w:val="00E97078"/>
    <w:rsid w:val="00E97EB0"/>
    <w:rsid w:val="00EA44E5"/>
    <w:rsid w:val="00EA599A"/>
    <w:rsid w:val="00EA6D8E"/>
    <w:rsid w:val="00EB2382"/>
    <w:rsid w:val="00EB6AFF"/>
    <w:rsid w:val="00EB7B71"/>
    <w:rsid w:val="00EC1892"/>
    <w:rsid w:val="00ED2B6F"/>
    <w:rsid w:val="00EE6323"/>
    <w:rsid w:val="00EF1E7F"/>
    <w:rsid w:val="00F00418"/>
    <w:rsid w:val="00F005F7"/>
    <w:rsid w:val="00F12AED"/>
    <w:rsid w:val="00F20823"/>
    <w:rsid w:val="00F21453"/>
    <w:rsid w:val="00F30653"/>
    <w:rsid w:val="00F3579F"/>
    <w:rsid w:val="00F41B09"/>
    <w:rsid w:val="00F60E74"/>
    <w:rsid w:val="00F676AE"/>
    <w:rsid w:val="00F759C4"/>
    <w:rsid w:val="00F82BA1"/>
    <w:rsid w:val="00F91F3B"/>
    <w:rsid w:val="00F95E39"/>
    <w:rsid w:val="00F965C3"/>
    <w:rsid w:val="00F967B7"/>
    <w:rsid w:val="00FA1060"/>
    <w:rsid w:val="00FB4613"/>
    <w:rsid w:val="00FC56AA"/>
    <w:rsid w:val="00FE5BB4"/>
    <w:rsid w:val="00FF2EDB"/>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2D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501"/>
    <w:rPr>
      <w:color w:val="0563C1" w:themeColor="hyperlink"/>
      <w:u w:val="single"/>
    </w:rPr>
  </w:style>
  <w:style w:type="paragraph" w:styleId="NormalWeb">
    <w:name w:val="Normal (Web)"/>
    <w:basedOn w:val="Normal"/>
    <w:uiPriority w:val="99"/>
    <w:semiHidden/>
    <w:unhideWhenUsed/>
    <w:rsid w:val="00C70E6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01230"/>
    <w:pPr>
      <w:tabs>
        <w:tab w:val="center" w:pos="4680"/>
        <w:tab w:val="right" w:pos="9360"/>
      </w:tabs>
    </w:pPr>
  </w:style>
  <w:style w:type="character" w:customStyle="1" w:styleId="FooterChar">
    <w:name w:val="Footer Char"/>
    <w:basedOn w:val="DefaultParagraphFont"/>
    <w:link w:val="Footer"/>
    <w:uiPriority w:val="99"/>
    <w:rsid w:val="00D01230"/>
  </w:style>
  <w:style w:type="character" w:styleId="PageNumber">
    <w:name w:val="page number"/>
    <w:basedOn w:val="DefaultParagraphFont"/>
    <w:uiPriority w:val="99"/>
    <w:semiHidden/>
    <w:unhideWhenUsed/>
    <w:rsid w:val="00D01230"/>
  </w:style>
  <w:style w:type="paragraph" w:styleId="ListParagraph">
    <w:name w:val="List Paragraph"/>
    <w:basedOn w:val="Normal"/>
    <w:uiPriority w:val="34"/>
    <w:qFormat/>
    <w:rsid w:val="00A47478"/>
    <w:pPr>
      <w:ind w:left="720"/>
      <w:contextualSpacing/>
    </w:pPr>
  </w:style>
  <w:style w:type="character" w:styleId="FollowedHyperlink">
    <w:name w:val="FollowedHyperlink"/>
    <w:basedOn w:val="DefaultParagraphFont"/>
    <w:uiPriority w:val="99"/>
    <w:semiHidden/>
    <w:unhideWhenUsed/>
    <w:rsid w:val="00366A01"/>
    <w:rPr>
      <w:color w:val="954F72" w:themeColor="followedHyperlink"/>
      <w:u w:val="single"/>
    </w:rPr>
  </w:style>
  <w:style w:type="character" w:customStyle="1" w:styleId="apple-converted-space">
    <w:name w:val="apple-converted-space"/>
    <w:basedOn w:val="DefaultParagraphFont"/>
    <w:rsid w:val="007C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236">
      <w:bodyDiv w:val="1"/>
      <w:marLeft w:val="0"/>
      <w:marRight w:val="0"/>
      <w:marTop w:val="0"/>
      <w:marBottom w:val="0"/>
      <w:divBdr>
        <w:top w:val="none" w:sz="0" w:space="0" w:color="auto"/>
        <w:left w:val="none" w:sz="0" w:space="0" w:color="auto"/>
        <w:bottom w:val="none" w:sz="0" w:space="0" w:color="auto"/>
        <w:right w:val="none" w:sz="0" w:space="0" w:color="auto"/>
      </w:divBdr>
    </w:div>
    <w:div w:id="109519917">
      <w:bodyDiv w:val="1"/>
      <w:marLeft w:val="0"/>
      <w:marRight w:val="0"/>
      <w:marTop w:val="0"/>
      <w:marBottom w:val="0"/>
      <w:divBdr>
        <w:top w:val="none" w:sz="0" w:space="0" w:color="auto"/>
        <w:left w:val="none" w:sz="0" w:space="0" w:color="auto"/>
        <w:bottom w:val="none" w:sz="0" w:space="0" w:color="auto"/>
        <w:right w:val="none" w:sz="0" w:space="0" w:color="auto"/>
      </w:divBdr>
    </w:div>
    <w:div w:id="466777653">
      <w:bodyDiv w:val="1"/>
      <w:marLeft w:val="0"/>
      <w:marRight w:val="0"/>
      <w:marTop w:val="0"/>
      <w:marBottom w:val="0"/>
      <w:divBdr>
        <w:top w:val="none" w:sz="0" w:space="0" w:color="auto"/>
        <w:left w:val="none" w:sz="0" w:space="0" w:color="auto"/>
        <w:bottom w:val="none" w:sz="0" w:space="0" w:color="auto"/>
        <w:right w:val="none" w:sz="0" w:space="0" w:color="auto"/>
      </w:divBdr>
    </w:div>
    <w:div w:id="513153845">
      <w:bodyDiv w:val="1"/>
      <w:marLeft w:val="0"/>
      <w:marRight w:val="0"/>
      <w:marTop w:val="0"/>
      <w:marBottom w:val="0"/>
      <w:divBdr>
        <w:top w:val="none" w:sz="0" w:space="0" w:color="auto"/>
        <w:left w:val="none" w:sz="0" w:space="0" w:color="auto"/>
        <w:bottom w:val="none" w:sz="0" w:space="0" w:color="auto"/>
        <w:right w:val="none" w:sz="0" w:space="0" w:color="auto"/>
      </w:divBdr>
    </w:div>
    <w:div w:id="774718121">
      <w:bodyDiv w:val="1"/>
      <w:marLeft w:val="0"/>
      <w:marRight w:val="0"/>
      <w:marTop w:val="0"/>
      <w:marBottom w:val="0"/>
      <w:divBdr>
        <w:top w:val="none" w:sz="0" w:space="0" w:color="auto"/>
        <w:left w:val="none" w:sz="0" w:space="0" w:color="auto"/>
        <w:bottom w:val="none" w:sz="0" w:space="0" w:color="auto"/>
        <w:right w:val="none" w:sz="0" w:space="0" w:color="auto"/>
      </w:divBdr>
    </w:div>
    <w:div w:id="887566551">
      <w:bodyDiv w:val="1"/>
      <w:marLeft w:val="0"/>
      <w:marRight w:val="0"/>
      <w:marTop w:val="0"/>
      <w:marBottom w:val="0"/>
      <w:divBdr>
        <w:top w:val="none" w:sz="0" w:space="0" w:color="auto"/>
        <w:left w:val="none" w:sz="0" w:space="0" w:color="auto"/>
        <w:bottom w:val="none" w:sz="0" w:space="0" w:color="auto"/>
        <w:right w:val="none" w:sz="0" w:space="0" w:color="auto"/>
      </w:divBdr>
    </w:div>
    <w:div w:id="894777181">
      <w:bodyDiv w:val="1"/>
      <w:marLeft w:val="0"/>
      <w:marRight w:val="0"/>
      <w:marTop w:val="0"/>
      <w:marBottom w:val="0"/>
      <w:divBdr>
        <w:top w:val="none" w:sz="0" w:space="0" w:color="auto"/>
        <w:left w:val="none" w:sz="0" w:space="0" w:color="auto"/>
        <w:bottom w:val="none" w:sz="0" w:space="0" w:color="auto"/>
        <w:right w:val="none" w:sz="0" w:space="0" w:color="auto"/>
      </w:divBdr>
    </w:div>
    <w:div w:id="1154251842">
      <w:bodyDiv w:val="1"/>
      <w:marLeft w:val="0"/>
      <w:marRight w:val="0"/>
      <w:marTop w:val="0"/>
      <w:marBottom w:val="0"/>
      <w:divBdr>
        <w:top w:val="none" w:sz="0" w:space="0" w:color="auto"/>
        <w:left w:val="none" w:sz="0" w:space="0" w:color="auto"/>
        <w:bottom w:val="none" w:sz="0" w:space="0" w:color="auto"/>
        <w:right w:val="none" w:sz="0" w:space="0" w:color="auto"/>
      </w:divBdr>
    </w:div>
    <w:div w:id="1157768197">
      <w:bodyDiv w:val="1"/>
      <w:marLeft w:val="0"/>
      <w:marRight w:val="0"/>
      <w:marTop w:val="0"/>
      <w:marBottom w:val="0"/>
      <w:divBdr>
        <w:top w:val="none" w:sz="0" w:space="0" w:color="auto"/>
        <w:left w:val="none" w:sz="0" w:space="0" w:color="auto"/>
        <w:bottom w:val="none" w:sz="0" w:space="0" w:color="auto"/>
        <w:right w:val="none" w:sz="0" w:space="0" w:color="auto"/>
      </w:divBdr>
      <w:divsChild>
        <w:div w:id="617109186">
          <w:marLeft w:val="274"/>
          <w:marRight w:val="0"/>
          <w:marTop w:val="0"/>
          <w:marBottom w:val="0"/>
          <w:divBdr>
            <w:top w:val="none" w:sz="0" w:space="0" w:color="auto"/>
            <w:left w:val="none" w:sz="0" w:space="0" w:color="auto"/>
            <w:bottom w:val="none" w:sz="0" w:space="0" w:color="auto"/>
            <w:right w:val="none" w:sz="0" w:space="0" w:color="auto"/>
          </w:divBdr>
        </w:div>
        <w:div w:id="313532469">
          <w:marLeft w:val="274"/>
          <w:marRight w:val="0"/>
          <w:marTop w:val="0"/>
          <w:marBottom w:val="0"/>
          <w:divBdr>
            <w:top w:val="none" w:sz="0" w:space="0" w:color="auto"/>
            <w:left w:val="none" w:sz="0" w:space="0" w:color="auto"/>
            <w:bottom w:val="none" w:sz="0" w:space="0" w:color="auto"/>
            <w:right w:val="none" w:sz="0" w:space="0" w:color="auto"/>
          </w:divBdr>
        </w:div>
        <w:div w:id="523717022">
          <w:marLeft w:val="274"/>
          <w:marRight w:val="0"/>
          <w:marTop w:val="0"/>
          <w:marBottom w:val="0"/>
          <w:divBdr>
            <w:top w:val="none" w:sz="0" w:space="0" w:color="auto"/>
            <w:left w:val="none" w:sz="0" w:space="0" w:color="auto"/>
            <w:bottom w:val="none" w:sz="0" w:space="0" w:color="auto"/>
            <w:right w:val="none" w:sz="0" w:space="0" w:color="auto"/>
          </w:divBdr>
        </w:div>
      </w:divsChild>
    </w:div>
    <w:div w:id="1304043372">
      <w:bodyDiv w:val="1"/>
      <w:marLeft w:val="0"/>
      <w:marRight w:val="0"/>
      <w:marTop w:val="0"/>
      <w:marBottom w:val="0"/>
      <w:divBdr>
        <w:top w:val="none" w:sz="0" w:space="0" w:color="auto"/>
        <w:left w:val="none" w:sz="0" w:space="0" w:color="auto"/>
        <w:bottom w:val="none" w:sz="0" w:space="0" w:color="auto"/>
        <w:right w:val="none" w:sz="0" w:space="0" w:color="auto"/>
      </w:divBdr>
    </w:div>
    <w:div w:id="1370689518">
      <w:bodyDiv w:val="1"/>
      <w:marLeft w:val="0"/>
      <w:marRight w:val="0"/>
      <w:marTop w:val="0"/>
      <w:marBottom w:val="0"/>
      <w:divBdr>
        <w:top w:val="none" w:sz="0" w:space="0" w:color="auto"/>
        <w:left w:val="none" w:sz="0" w:space="0" w:color="auto"/>
        <w:bottom w:val="none" w:sz="0" w:space="0" w:color="auto"/>
        <w:right w:val="none" w:sz="0" w:space="0" w:color="auto"/>
      </w:divBdr>
    </w:div>
    <w:div w:id="1391921173">
      <w:bodyDiv w:val="1"/>
      <w:marLeft w:val="0"/>
      <w:marRight w:val="0"/>
      <w:marTop w:val="0"/>
      <w:marBottom w:val="0"/>
      <w:divBdr>
        <w:top w:val="none" w:sz="0" w:space="0" w:color="auto"/>
        <w:left w:val="none" w:sz="0" w:space="0" w:color="auto"/>
        <w:bottom w:val="none" w:sz="0" w:space="0" w:color="auto"/>
        <w:right w:val="none" w:sz="0" w:space="0" w:color="auto"/>
      </w:divBdr>
    </w:div>
    <w:div w:id="1412580075">
      <w:bodyDiv w:val="1"/>
      <w:marLeft w:val="0"/>
      <w:marRight w:val="0"/>
      <w:marTop w:val="0"/>
      <w:marBottom w:val="0"/>
      <w:divBdr>
        <w:top w:val="none" w:sz="0" w:space="0" w:color="auto"/>
        <w:left w:val="none" w:sz="0" w:space="0" w:color="auto"/>
        <w:bottom w:val="none" w:sz="0" w:space="0" w:color="auto"/>
        <w:right w:val="none" w:sz="0" w:space="0" w:color="auto"/>
      </w:divBdr>
    </w:div>
    <w:div w:id="1548420088">
      <w:bodyDiv w:val="1"/>
      <w:marLeft w:val="0"/>
      <w:marRight w:val="0"/>
      <w:marTop w:val="0"/>
      <w:marBottom w:val="0"/>
      <w:divBdr>
        <w:top w:val="none" w:sz="0" w:space="0" w:color="auto"/>
        <w:left w:val="none" w:sz="0" w:space="0" w:color="auto"/>
        <w:bottom w:val="none" w:sz="0" w:space="0" w:color="auto"/>
        <w:right w:val="none" w:sz="0" w:space="0" w:color="auto"/>
      </w:divBdr>
    </w:div>
    <w:div w:id="1758284070">
      <w:bodyDiv w:val="1"/>
      <w:marLeft w:val="0"/>
      <w:marRight w:val="0"/>
      <w:marTop w:val="0"/>
      <w:marBottom w:val="0"/>
      <w:divBdr>
        <w:top w:val="none" w:sz="0" w:space="0" w:color="auto"/>
        <w:left w:val="none" w:sz="0" w:space="0" w:color="auto"/>
        <w:bottom w:val="none" w:sz="0" w:space="0" w:color="auto"/>
        <w:right w:val="none" w:sz="0" w:space="0" w:color="auto"/>
      </w:divBdr>
    </w:div>
    <w:div w:id="1917475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ru.mcmaster.ca/hiru/HIRU_KT_MEDLINE_Filter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pyright_PS@ai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rveygizmo.com/s3/4100307/Evaluation-KT-Canad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ihr-irsc.gc.ca/e/45321.html" TargetMode="External"/><Relationship Id="rId4" Type="http://schemas.openxmlformats.org/officeDocument/2006/relationships/webSettings" Target="webSettings.xml"/><Relationship Id="rId9" Type="http://schemas.openxmlformats.org/officeDocument/2006/relationships/hyperlink" Target="http://plus.mcmaster.ca/kt/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Boydston, Steven</cp:lastModifiedBy>
  <cp:revision>3</cp:revision>
  <dcterms:created xsi:type="dcterms:W3CDTF">2018-01-24T22:18:00Z</dcterms:created>
  <dcterms:modified xsi:type="dcterms:W3CDTF">2018-01-24T22:27:00Z</dcterms:modified>
</cp:coreProperties>
</file>