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1A618" w14:textId="77777777" w:rsidR="003865EB" w:rsidRPr="009D689D" w:rsidRDefault="003865EB" w:rsidP="009D689D">
      <w:pPr>
        <w:pStyle w:val="Heading1"/>
        <w:ind w:left="0" w:firstLine="0"/>
        <w:rPr>
          <w:rFonts w:ascii="Times New Roman" w:cs="Times New Roman"/>
          <w:sz w:val="24"/>
          <w:szCs w:val="24"/>
        </w:rPr>
      </w:pPr>
      <w:r w:rsidRPr="009D689D">
        <w:rPr>
          <w:rFonts w:ascii="Times New Roman" w:cs="Times New Roman"/>
          <w:bCs/>
          <w:sz w:val="24"/>
          <w:szCs w:val="24"/>
        </w:rPr>
        <w:t>NIDILRR Employee Grantees Strategies for Outreach to Business:</w:t>
      </w:r>
    </w:p>
    <w:p w14:paraId="52AD958C" w14:textId="77777777" w:rsidR="003865EB" w:rsidRPr="009D689D" w:rsidRDefault="003865EB" w:rsidP="009D689D">
      <w:pPr>
        <w:pStyle w:val="Heading1"/>
        <w:ind w:left="0" w:firstLine="0"/>
        <w:rPr>
          <w:rFonts w:ascii="Times New Roman" w:cs="Times New Roman"/>
          <w:sz w:val="24"/>
          <w:szCs w:val="24"/>
        </w:rPr>
      </w:pPr>
      <w:r w:rsidRPr="009D689D">
        <w:rPr>
          <w:rFonts w:ascii="Times New Roman" w:cs="Times New Roman"/>
          <w:bCs/>
          <w:sz w:val="24"/>
          <w:szCs w:val="24"/>
        </w:rPr>
        <w:t>Strategies to Inform the</w:t>
      </w:r>
    </w:p>
    <w:p w14:paraId="684F09DA" w14:textId="77777777" w:rsidR="003865EB" w:rsidRPr="009D689D" w:rsidRDefault="003865EB" w:rsidP="009D689D">
      <w:pPr>
        <w:pStyle w:val="Heading1"/>
        <w:ind w:left="0" w:firstLine="0"/>
        <w:rPr>
          <w:rFonts w:ascii="Times New Roman" w:cs="Times New Roman"/>
          <w:bCs/>
          <w:sz w:val="24"/>
          <w:szCs w:val="24"/>
        </w:rPr>
      </w:pPr>
      <w:r w:rsidRPr="009D689D">
        <w:rPr>
          <w:rFonts w:ascii="Times New Roman" w:cs="Times New Roman"/>
          <w:bCs/>
          <w:sz w:val="24"/>
          <w:szCs w:val="24"/>
        </w:rPr>
        <w:t>Design of Knowledge Translation</w:t>
      </w:r>
    </w:p>
    <w:p w14:paraId="3B39E2E9" w14:textId="77777777" w:rsidR="003865EB" w:rsidRPr="009D689D" w:rsidRDefault="003865EB" w:rsidP="009D689D">
      <w:pPr>
        <w:spacing w:after="0" w:line="240" w:lineRule="auto"/>
        <w:rPr>
          <w:rFonts w:ascii="Times New Roman" w:hAnsi="Times New Roman" w:cs="Times New Roman"/>
          <w:sz w:val="24"/>
          <w:szCs w:val="24"/>
        </w:rPr>
      </w:pPr>
    </w:p>
    <w:p w14:paraId="36C2E202" w14:textId="77777777" w:rsidR="003865EB" w:rsidRPr="009D689D" w:rsidRDefault="003865EB" w:rsidP="009D689D">
      <w:pPr>
        <w:pStyle w:val="Heading1"/>
        <w:ind w:left="0" w:firstLine="0"/>
        <w:rPr>
          <w:rFonts w:ascii="Times New Roman" w:cs="Times New Roman"/>
          <w:sz w:val="24"/>
          <w:szCs w:val="24"/>
        </w:rPr>
      </w:pPr>
      <w:r w:rsidRPr="009D689D">
        <w:rPr>
          <w:rFonts w:ascii="Times New Roman" w:cs="Times New Roman"/>
          <w:sz w:val="24"/>
          <w:szCs w:val="24"/>
        </w:rPr>
        <w:t>Kathleen M. Murphy</w:t>
      </w:r>
    </w:p>
    <w:p w14:paraId="6D6526A3" w14:textId="77777777" w:rsidR="003865EB" w:rsidRPr="009D689D" w:rsidRDefault="009B5660" w:rsidP="009D689D">
      <w:pPr>
        <w:pStyle w:val="Heading1"/>
        <w:ind w:left="0" w:firstLine="0"/>
        <w:rPr>
          <w:rFonts w:ascii="Times New Roman" w:cs="Times New Roman"/>
          <w:sz w:val="24"/>
          <w:szCs w:val="24"/>
        </w:rPr>
      </w:pPr>
      <w:hyperlink r:id="rId6" w:history="1">
        <w:r w:rsidR="003865EB" w:rsidRPr="009D689D">
          <w:rPr>
            <w:rStyle w:val="Hyperlink"/>
            <w:rFonts w:ascii="Times New Roman" w:cs="Times New Roman"/>
            <w:sz w:val="24"/>
            <w:szCs w:val="24"/>
          </w:rPr>
          <w:t>KmMurphy@air.org</w:t>
        </w:r>
      </w:hyperlink>
    </w:p>
    <w:p w14:paraId="5C883918" w14:textId="77777777" w:rsidR="003865EB" w:rsidRPr="009D689D" w:rsidRDefault="003865EB" w:rsidP="009D689D">
      <w:pPr>
        <w:spacing w:after="0" w:line="240" w:lineRule="auto"/>
        <w:rPr>
          <w:rFonts w:ascii="Times New Roman" w:hAnsi="Times New Roman" w:cs="Times New Roman"/>
          <w:sz w:val="24"/>
          <w:szCs w:val="24"/>
        </w:rPr>
      </w:pPr>
    </w:p>
    <w:p w14:paraId="71032D8D" w14:textId="77777777" w:rsidR="003865EB" w:rsidRPr="009D689D" w:rsidRDefault="003865EB" w:rsidP="009D689D">
      <w:pPr>
        <w:pStyle w:val="Heading1"/>
        <w:ind w:left="0" w:firstLine="0"/>
        <w:rPr>
          <w:rFonts w:ascii="Times New Roman" w:cs="Times New Roman"/>
          <w:sz w:val="24"/>
          <w:szCs w:val="24"/>
        </w:rPr>
      </w:pPr>
      <w:r w:rsidRPr="009D689D">
        <w:rPr>
          <w:rFonts w:ascii="Times New Roman" w:cs="Times New Roman"/>
          <w:sz w:val="24"/>
          <w:szCs w:val="24"/>
        </w:rPr>
        <w:t>May 5, 2016</w:t>
      </w:r>
    </w:p>
    <w:p w14:paraId="21F76047" w14:textId="77777777" w:rsidR="003865EB" w:rsidRPr="009D689D" w:rsidRDefault="003865EB" w:rsidP="009D689D">
      <w:pPr>
        <w:pStyle w:val="Heading1"/>
        <w:ind w:left="0" w:firstLine="0"/>
        <w:rPr>
          <w:rFonts w:ascii="Times New Roman" w:cs="Times New Roman"/>
          <w:sz w:val="24"/>
          <w:szCs w:val="24"/>
        </w:rPr>
      </w:pPr>
      <w:r w:rsidRPr="009D689D">
        <w:rPr>
          <w:rFonts w:ascii="Times New Roman" w:cs="Times New Roman"/>
          <w:sz w:val="24"/>
          <w:szCs w:val="24"/>
        </w:rPr>
        <w:t>KTER Center</w:t>
      </w:r>
    </w:p>
    <w:p w14:paraId="2A35468E" w14:textId="77777777" w:rsidR="00F60630" w:rsidRPr="009D689D" w:rsidRDefault="00F60630" w:rsidP="009D689D">
      <w:pPr>
        <w:pStyle w:val="Heading1"/>
        <w:ind w:left="0" w:firstLine="0"/>
        <w:rPr>
          <w:rFonts w:ascii="Times New Roman" w:cs="Times New Roman"/>
          <w:sz w:val="24"/>
          <w:szCs w:val="24"/>
        </w:rPr>
      </w:pPr>
    </w:p>
    <w:p w14:paraId="58E0895B" w14:textId="77777777" w:rsidR="003865EB" w:rsidRPr="009D689D" w:rsidRDefault="003865EB" w:rsidP="009D689D">
      <w:pPr>
        <w:pStyle w:val="Heading2"/>
        <w:ind w:left="0" w:firstLine="0"/>
        <w:rPr>
          <w:rFonts w:ascii="Times New Roman" w:cs="Times New Roman"/>
          <w:bCs/>
          <w:color w:val="404040"/>
          <w:sz w:val="24"/>
          <w:szCs w:val="24"/>
        </w:rPr>
      </w:pPr>
      <w:r w:rsidRPr="009D689D">
        <w:rPr>
          <w:rFonts w:ascii="Times New Roman" w:cs="Times New Roman"/>
          <w:bCs/>
          <w:color w:val="404040"/>
          <w:sz w:val="24"/>
          <w:szCs w:val="24"/>
        </w:rPr>
        <w:t xml:space="preserve">800-476-6861  |  </w:t>
      </w:r>
      <w:hyperlink r:id="rId7" w:history="1">
        <w:r w:rsidRPr="009D689D">
          <w:rPr>
            <w:rStyle w:val="Hyperlink"/>
            <w:rFonts w:ascii="Times New Roman" w:cs="Times New Roman"/>
            <w:bCs/>
            <w:sz w:val="24"/>
            <w:szCs w:val="24"/>
          </w:rPr>
          <w:t>www.sedl.org</w:t>
        </w:r>
      </w:hyperlink>
    </w:p>
    <w:p w14:paraId="390244BF" w14:textId="77777777" w:rsidR="003865EB" w:rsidRPr="009D689D" w:rsidRDefault="003865EB" w:rsidP="009D689D">
      <w:pPr>
        <w:spacing w:after="0" w:line="240" w:lineRule="auto"/>
        <w:rPr>
          <w:rFonts w:ascii="Times New Roman" w:hAnsi="Times New Roman" w:cs="Times New Roman"/>
          <w:sz w:val="24"/>
          <w:szCs w:val="24"/>
        </w:rPr>
      </w:pPr>
    </w:p>
    <w:p w14:paraId="27142150" w14:textId="68D40921" w:rsidR="003865EB" w:rsidRPr="009D689D" w:rsidRDefault="003865EB" w:rsidP="009D689D">
      <w:pPr>
        <w:pStyle w:val="Heading2"/>
        <w:ind w:left="0" w:firstLine="0"/>
        <w:rPr>
          <w:rFonts w:ascii="Times New Roman" w:cs="Times New Roman"/>
          <w:bCs/>
          <w:color w:val="404040"/>
          <w:sz w:val="24"/>
          <w:szCs w:val="24"/>
        </w:rPr>
      </w:pPr>
      <w:r w:rsidRPr="009D689D">
        <w:rPr>
          <w:rFonts w:ascii="Times New Roman" w:cs="Times New Roman"/>
          <w:bCs/>
          <w:color w:val="404040"/>
          <w:sz w:val="24"/>
          <w:szCs w:val="24"/>
        </w:rPr>
        <w:t>Copyright ©2016 SEDL, an affiliate of American Institutes for Research (AIR). All rights reserved.</w:t>
      </w:r>
      <w:r w:rsidRPr="009D689D">
        <w:rPr>
          <w:rFonts w:ascii="Times New Roman" w:eastAsia="MingLiU" w:cs="Times New Roman"/>
          <w:bCs/>
          <w:color w:val="404040"/>
          <w:sz w:val="24"/>
          <w:szCs w:val="24"/>
        </w:rPr>
        <w:br/>
      </w:r>
      <w:r w:rsidRPr="009D689D">
        <w:rPr>
          <w:rFonts w:ascii="Times New Roman" w:cs="Times New Roman"/>
          <w:bCs/>
          <w:color w:val="404040"/>
          <w:sz w:val="24"/>
          <w:szCs w:val="24"/>
        </w:rPr>
        <w:t>No part of this presentation may be reproduced or transmitted in any form or by any means, electronic or mechanical, including photocopy, recording, or any information storage and retrieval system, without permission in writing from SEDL/AIR (4700 Mue</w:t>
      </w:r>
      <w:r w:rsidR="009D689D">
        <w:rPr>
          <w:rFonts w:ascii="Times New Roman" w:cs="Times New Roman"/>
          <w:bCs/>
          <w:color w:val="404040"/>
          <w:sz w:val="24"/>
          <w:szCs w:val="24"/>
        </w:rPr>
        <w:t>ller Blvd., Austin, TX 78723), </w:t>
      </w:r>
      <w:r w:rsidRPr="009D689D">
        <w:rPr>
          <w:rFonts w:ascii="Times New Roman" w:cs="Times New Roman"/>
          <w:bCs/>
          <w:color w:val="404040"/>
          <w:sz w:val="24"/>
          <w:szCs w:val="24"/>
        </w:rPr>
        <w:t>or by submitting an online copyright request form at www.sedl.org/about/copyright_request.html. Users may need to secure additional permissions from copyright holders whose work SEDL/AIR included after obtaining permission as noted to reproduce or adapt materials for this presentation.</w:t>
      </w:r>
    </w:p>
    <w:p w14:paraId="4A4ED04E" w14:textId="77777777" w:rsidR="00F60630" w:rsidRPr="009D689D" w:rsidRDefault="00F60630" w:rsidP="00080C74">
      <w:pPr>
        <w:pStyle w:val="Heading2"/>
        <w:ind w:left="0" w:firstLine="0"/>
        <w:rPr>
          <w:rFonts w:ascii="Times New Roman" w:cs="Times New Roman"/>
          <w:bCs/>
          <w:color w:val="404040"/>
          <w:sz w:val="24"/>
          <w:szCs w:val="24"/>
        </w:rPr>
      </w:pPr>
    </w:p>
    <w:p w14:paraId="4C9A1CCC" w14:textId="77777777" w:rsidR="00080C74" w:rsidRPr="009D689D" w:rsidRDefault="00080C74" w:rsidP="00080C74">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Slide 1: Title </w:t>
      </w:r>
    </w:p>
    <w:p w14:paraId="4F4F9D7E" w14:textId="77777777" w:rsidR="00080C74" w:rsidRPr="009D689D" w:rsidRDefault="00080C74" w:rsidP="00080C74">
      <w:pPr>
        <w:pStyle w:val="Heading1"/>
        <w:ind w:left="0" w:firstLine="0"/>
        <w:rPr>
          <w:rFonts w:ascii="Times New Roman" w:cs="Times New Roman"/>
          <w:bCs/>
          <w:sz w:val="24"/>
          <w:szCs w:val="24"/>
        </w:rPr>
      </w:pPr>
      <w:r w:rsidRPr="009D689D">
        <w:rPr>
          <w:rFonts w:ascii="Times New Roman" w:cs="Times New Roman"/>
          <w:bCs/>
          <w:sz w:val="24"/>
          <w:szCs w:val="24"/>
        </w:rPr>
        <w:t>NIDILRR Employee Grantees Strategies for Outreach to Business: Strategies to Inform the Design of Knowledge Translation</w:t>
      </w:r>
    </w:p>
    <w:p w14:paraId="3C59CD61" w14:textId="77777777" w:rsidR="00080C74" w:rsidRPr="009D689D" w:rsidRDefault="00080C74" w:rsidP="00080C74">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Kathleen M. Murphy</w:t>
      </w:r>
    </w:p>
    <w:p w14:paraId="5C28DD93" w14:textId="77777777" w:rsidR="00080C74" w:rsidRPr="009D689D" w:rsidRDefault="009B5660" w:rsidP="00080C74">
      <w:pPr>
        <w:spacing w:after="0" w:line="240" w:lineRule="auto"/>
        <w:rPr>
          <w:rFonts w:ascii="Times New Roman" w:hAnsi="Times New Roman" w:cs="Times New Roman"/>
          <w:sz w:val="24"/>
          <w:szCs w:val="24"/>
        </w:rPr>
      </w:pPr>
      <w:hyperlink r:id="rId8" w:history="1">
        <w:r w:rsidR="00080C74" w:rsidRPr="009D689D">
          <w:rPr>
            <w:rStyle w:val="Hyperlink"/>
            <w:rFonts w:ascii="Times New Roman" w:hAnsi="Times New Roman" w:cs="Times New Roman"/>
            <w:sz w:val="24"/>
            <w:szCs w:val="24"/>
          </w:rPr>
          <w:t>KmMurphy@air.org</w:t>
        </w:r>
      </w:hyperlink>
    </w:p>
    <w:p w14:paraId="26C93A5A" w14:textId="77777777" w:rsidR="00080C74" w:rsidRPr="009D689D" w:rsidRDefault="00080C74" w:rsidP="00080C74">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May 5, 2016</w:t>
      </w:r>
    </w:p>
    <w:p w14:paraId="10D06265" w14:textId="77777777" w:rsidR="00080C74" w:rsidRPr="009D689D" w:rsidRDefault="00080C74" w:rsidP="00080C74">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KTER Center</w:t>
      </w:r>
    </w:p>
    <w:p w14:paraId="255B6C0C" w14:textId="77777777" w:rsidR="00080C74" w:rsidRPr="009D689D" w:rsidRDefault="00080C74" w:rsidP="00080C74">
      <w:pPr>
        <w:pStyle w:val="Heading2"/>
        <w:ind w:left="0" w:firstLine="0"/>
        <w:rPr>
          <w:rFonts w:ascii="Times New Roman" w:cs="Times New Roman"/>
          <w:bCs/>
          <w:color w:val="404040"/>
          <w:sz w:val="24"/>
          <w:szCs w:val="24"/>
        </w:rPr>
      </w:pPr>
      <w:r w:rsidRPr="009D689D">
        <w:rPr>
          <w:rFonts w:ascii="Times New Roman" w:cs="Times New Roman"/>
          <w:bCs/>
          <w:color w:val="404040"/>
          <w:sz w:val="24"/>
          <w:szCs w:val="24"/>
        </w:rPr>
        <w:t xml:space="preserve">800-476-6861  |  </w:t>
      </w:r>
      <w:hyperlink r:id="rId9" w:history="1">
        <w:r w:rsidRPr="009D689D">
          <w:rPr>
            <w:rStyle w:val="Hyperlink"/>
            <w:rFonts w:ascii="Times New Roman" w:cs="Times New Roman"/>
            <w:bCs/>
            <w:sz w:val="24"/>
            <w:szCs w:val="24"/>
          </w:rPr>
          <w:t>www.sedl.org</w:t>
        </w:r>
      </w:hyperlink>
    </w:p>
    <w:p w14:paraId="3F4CDA68" w14:textId="782DEA2C" w:rsidR="00080C74" w:rsidRPr="009D689D" w:rsidRDefault="00080C74" w:rsidP="00EE0D11">
      <w:pPr>
        <w:spacing w:after="0" w:line="240" w:lineRule="auto"/>
        <w:rPr>
          <w:rFonts w:ascii="Times New Roman" w:hAnsi="Times New Roman" w:cs="Times New Roman"/>
          <w:sz w:val="24"/>
          <w:szCs w:val="24"/>
        </w:rPr>
      </w:pPr>
      <w:r w:rsidRPr="009D689D">
        <w:rPr>
          <w:rFonts w:ascii="Times New Roman" w:eastAsia="MS PGothic" w:hAnsi="Times New Roman" w:cs="Times New Roman"/>
          <w:bCs/>
          <w:color w:val="404040"/>
          <w:sz w:val="24"/>
          <w:szCs w:val="24"/>
        </w:rPr>
        <w:t>Copyright ©2016 SEDL, an affiliate of American Institutes for Research (AIR). All rights reserved.</w:t>
      </w:r>
      <w:r w:rsidRPr="009D689D">
        <w:rPr>
          <w:rFonts w:ascii="Times New Roman" w:eastAsia="MingLiU" w:hAnsi="Times New Roman" w:cs="Times New Roman"/>
          <w:bCs/>
          <w:color w:val="404040"/>
          <w:sz w:val="24"/>
          <w:szCs w:val="24"/>
        </w:rPr>
        <w:br/>
      </w:r>
      <w:r w:rsidRPr="009D689D">
        <w:rPr>
          <w:rFonts w:ascii="Times New Roman" w:eastAsia="MS PGothic" w:hAnsi="Times New Roman" w:cs="Times New Roman"/>
          <w:bCs/>
          <w:color w:val="404040"/>
          <w:sz w:val="24"/>
          <w:szCs w:val="24"/>
        </w:rPr>
        <w:t>No part of this presentation may be reproduced or transmitted in any form or by any means, electronic or mechanical, including photocopy, recording, or any information storage and retrieval system, without permission in writing from SEDL/AIR (4700 Mue</w:t>
      </w:r>
      <w:r w:rsidR="009D689D">
        <w:rPr>
          <w:rFonts w:ascii="Times New Roman" w:eastAsia="MS PGothic" w:hAnsi="Times New Roman" w:cs="Times New Roman"/>
          <w:bCs/>
          <w:color w:val="404040"/>
          <w:sz w:val="24"/>
          <w:szCs w:val="24"/>
        </w:rPr>
        <w:t>ller Blvd., Austin, TX 78723), </w:t>
      </w:r>
      <w:r w:rsidRPr="009D689D">
        <w:rPr>
          <w:rFonts w:ascii="Times New Roman" w:eastAsia="MS PGothic" w:hAnsi="Times New Roman" w:cs="Times New Roman"/>
          <w:bCs/>
          <w:color w:val="404040"/>
          <w:sz w:val="24"/>
          <w:szCs w:val="24"/>
        </w:rPr>
        <w:t>or by submitting an o</w:t>
      </w:r>
      <w:r w:rsidR="009D689D">
        <w:rPr>
          <w:rFonts w:ascii="Times New Roman" w:eastAsia="MS PGothic" w:hAnsi="Times New Roman" w:cs="Times New Roman"/>
          <w:bCs/>
          <w:color w:val="404040"/>
          <w:sz w:val="24"/>
          <w:szCs w:val="24"/>
        </w:rPr>
        <w:t xml:space="preserve">nline copyright request form at </w:t>
      </w:r>
      <w:r w:rsidRPr="009D689D">
        <w:rPr>
          <w:rFonts w:ascii="Times New Roman" w:eastAsia="MS PGothic" w:hAnsi="Times New Roman" w:cs="Times New Roman"/>
          <w:bCs/>
          <w:color w:val="404040"/>
          <w:sz w:val="24"/>
          <w:szCs w:val="24"/>
        </w:rPr>
        <w:t>www.sedl.org/about/copyright_request.html. Users may need to secure additional permissions from copyright holders whose work SEDL/AIR included after obtaining permission as noted to reproduce or adapt materials for this presentation.</w:t>
      </w:r>
    </w:p>
    <w:p w14:paraId="02639DA7" w14:textId="77777777" w:rsidR="00080C74" w:rsidRPr="009D689D" w:rsidRDefault="00080C74" w:rsidP="00EE0D11">
      <w:pPr>
        <w:spacing w:after="0" w:line="240" w:lineRule="auto"/>
        <w:rPr>
          <w:rFonts w:ascii="Times New Roman" w:hAnsi="Times New Roman" w:cs="Times New Roman"/>
          <w:sz w:val="24"/>
          <w:szCs w:val="24"/>
        </w:rPr>
      </w:pPr>
    </w:p>
    <w:p w14:paraId="42A3C94A" w14:textId="77777777" w:rsidR="00080C74" w:rsidRPr="009D689D" w:rsidRDefault="00080C74" w:rsidP="00EE0D11">
      <w:pPr>
        <w:spacing w:after="0" w:line="240" w:lineRule="auto"/>
        <w:rPr>
          <w:rFonts w:ascii="Times New Roman" w:hAnsi="Times New Roman" w:cs="Times New Roman"/>
          <w:bCs/>
          <w:color w:val="1A4454"/>
          <w:sz w:val="24"/>
          <w:szCs w:val="24"/>
        </w:rPr>
      </w:pPr>
      <w:r w:rsidRPr="009D689D">
        <w:rPr>
          <w:rFonts w:ascii="Times New Roman" w:hAnsi="Times New Roman" w:cs="Times New Roman"/>
          <w:sz w:val="24"/>
          <w:szCs w:val="24"/>
        </w:rPr>
        <w:t xml:space="preserve">Slide 2: </w:t>
      </w:r>
      <w:r w:rsidR="00851AEE" w:rsidRPr="009D689D">
        <w:rPr>
          <w:rFonts w:ascii="Times New Roman" w:hAnsi="Times New Roman" w:cs="Times New Roman"/>
          <w:bCs/>
          <w:color w:val="1A4454"/>
          <w:sz w:val="24"/>
          <w:szCs w:val="24"/>
        </w:rPr>
        <w:t xml:space="preserve">Theoretical Domains Framework </w:t>
      </w:r>
      <w:r w:rsidR="00851AEE" w:rsidRPr="009D689D">
        <w:rPr>
          <w:rFonts w:ascii="Times New Roman" w:hAnsi="Times New Roman" w:cs="Times New Roman"/>
          <w:bCs/>
          <w:color w:val="1A4454"/>
          <w:sz w:val="24"/>
          <w:szCs w:val="24"/>
        </w:rPr>
        <w:br/>
        <w:t>(French et al., 2012)</w:t>
      </w:r>
    </w:p>
    <w:p w14:paraId="206DE983" w14:textId="77777777" w:rsidR="00080C74" w:rsidRPr="009D689D" w:rsidRDefault="00851AEE" w:rsidP="00EE0D11">
      <w:pPr>
        <w:pStyle w:val="ListParagraph"/>
        <w:numPr>
          <w:ilvl w:val="0"/>
          <w:numId w:val="6"/>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Who needs to do what, differently? </w:t>
      </w:r>
    </w:p>
    <w:p w14:paraId="33A417F7" w14:textId="77777777" w:rsidR="00080C74" w:rsidRPr="009D689D" w:rsidRDefault="00851AEE" w:rsidP="00EE0D11">
      <w:pPr>
        <w:pStyle w:val="ListParagraph"/>
        <w:numPr>
          <w:ilvl w:val="0"/>
          <w:numId w:val="6"/>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Using a theoretical framework, which barriers and enablers need to be addressed? </w:t>
      </w:r>
    </w:p>
    <w:p w14:paraId="39381C3F" w14:textId="77777777" w:rsidR="00080C74" w:rsidRPr="009D689D" w:rsidRDefault="00851AEE" w:rsidP="00EE0D11">
      <w:pPr>
        <w:pStyle w:val="ListParagraph"/>
        <w:numPr>
          <w:ilvl w:val="0"/>
          <w:numId w:val="6"/>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Which intervention components (</w:t>
      </w:r>
      <w:r w:rsidR="00EE0D11" w:rsidRPr="009D689D">
        <w:rPr>
          <w:rFonts w:ascii="Times New Roman" w:hAnsi="Times New Roman" w:cs="Times New Roman"/>
          <w:sz w:val="24"/>
          <w:szCs w:val="24"/>
        </w:rPr>
        <w:t>behavior</w:t>
      </w:r>
      <w:r w:rsidRPr="009D689D">
        <w:rPr>
          <w:rFonts w:ascii="Times New Roman" w:hAnsi="Times New Roman" w:cs="Times New Roman"/>
          <w:sz w:val="24"/>
          <w:szCs w:val="24"/>
        </w:rPr>
        <w:t xml:space="preserve"> change techniques and mode(s) of delivery) could overcome the modifiable barriers and enhance the enablers? </w:t>
      </w:r>
    </w:p>
    <w:p w14:paraId="38A07B99" w14:textId="77777777" w:rsidR="00F60630" w:rsidRPr="009D689D" w:rsidRDefault="00851AEE" w:rsidP="00EE0D11">
      <w:pPr>
        <w:pStyle w:val="ListParagraph"/>
        <w:numPr>
          <w:ilvl w:val="0"/>
          <w:numId w:val="6"/>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lastRenderedPageBreak/>
        <w:t xml:space="preserve">And how can behavior change be measured and understood? </w:t>
      </w:r>
    </w:p>
    <w:p w14:paraId="7FB266D5" w14:textId="77777777" w:rsidR="00F60630" w:rsidRPr="009D689D" w:rsidRDefault="00F60630" w:rsidP="00080C74">
      <w:pPr>
        <w:pStyle w:val="Heading1"/>
        <w:ind w:left="0" w:firstLine="0"/>
        <w:rPr>
          <w:rFonts w:ascii="Times New Roman" w:cs="Times New Roman"/>
          <w:sz w:val="24"/>
          <w:szCs w:val="24"/>
        </w:rPr>
      </w:pPr>
    </w:p>
    <w:p w14:paraId="7A1FF9CE" w14:textId="77777777" w:rsidR="00EE0D11" w:rsidRPr="009D689D" w:rsidRDefault="00EE0D11" w:rsidP="00EE0D11">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Slide 3: Overview of KTER’s Research related to Business </w:t>
      </w:r>
    </w:p>
    <w:p w14:paraId="2DC3D0CC" w14:textId="77777777" w:rsidR="00CA11A5" w:rsidRPr="00CA11A5" w:rsidRDefault="00CA11A5" w:rsidP="00CA11A5">
      <w:pPr>
        <w:pStyle w:val="NormalWeb"/>
        <w:spacing w:before="0" w:beforeAutospacing="0" w:after="0" w:afterAutospacing="0"/>
        <w:textAlignment w:val="baseline"/>
        <w:rPr>
          <w:rFonts w:ascii="Times New Roman" w:hAnsi="Times New Roman"/>
          <w:sz w:val="24"/>
          <w:szCs w:val="24"/>
        </w:rPr>
      </w:pPr>
      <w:r w:rsidRPr="00CA11A5">
        <w:rPr>
          <w:rFonts w:ascii="Times New Roman" w:eastAsia="ＭＳ Ｐゴシック" w:hAnsi="Times New Roman" w:cs="ＭＳ Ｐゴシック"/>
          <w:color w:val="151515"/>
          <w:kern w:val="24"/>
          <w:sz w:val="24"/>
          <w:szCs w:val="24"/>
        </w:rPr>
        <w:t xml:space="preserve">R.1) </w:t>
      </w:r>
      <w:r w:rsidRPr="00CA11A5">
        <w:rPr>
          <w:rFonts w:ascii="Times New Roman" w:eastAsia="ＭＳ Ｐゴシック" w:hAnsi="Times New Roman" w:cs="ＭＳ Ｐゴシック"/>
          <w:color w:val="000000" w:themeColor="text1"/>
          <w:kern w:val="24"/>
          <w:sz w:val="24"/>
          <w:szCs w:val="24"/>
        </w:rPr>
        <w:t>Fong, Murphy, Westbrook, &amp; Markle. (2015). Behavioral, psychological, educational, and vocational interventions to facilitate employment outcomes for cancer survivors: a systematic review</w:t>
      </w:r>
      <w:r w:rsidRPr="00CA11A5">
        <w:rPr>
          <w:rFonts w:ascii="Times New Roman" w:eastAsia="ＭＳ Ｐゴシック" w:hAnsi="Times New Roman" w:cs="ＭＳ Ｐゴシック"/>
          <w:i/>
          <w:iCs/>
          <w:color w:val="000000" w:themeColor="text1"/>
          <w:kern w:val="24"/>
          <w:sz w:val="24"/>
          <w:szCs w:val="24"/>
        </w:rPr>
        <w:t>. Campbell Systematic Reviews</w:t>
      </w:r>
      <w:r w:rsidRPr="00CA11A5">
        <w:rPr>
          <w:rFonts w:ascii="Times New Roman" w:eastAsia="ＭＳ Ｐゴシック" w:hAnsi="Times New Roman" w:cs="ＭＳ Ｐゴシック"/>
          <w:color w:val="000000" w:themeColor="text1"/>
          <w:kern w:val="24"/>
          <w:sz w:val="24"/>
          <w:szCs w:val="24"/>
        </w:rPr>
        <w:t>.</w:t>
      </w:r>
    </w:p>
    <w:p w14:paraId="4C2DF61B" w14:textId="77777777" w:rsidR="00CA11A5" w:rsidRDefault="00CA11A5" w:rsidP="00CA11A5">
      <w:pPr>
        <w:pStyle w:val="NormalWeb"/>
        <w:spacing w:before="0" w:beforeAutospacing="0" w:after="0" w:afterAutospacing="0"/>
        <w:textAlignment w:val="baseline"/>
        <w:rPr>
          <w:rFonts w:ascii="Times New Roman" w:eastAsia="ＭＳ Ｐゴシック" w:hAnsi="Times New Roman" w:cs="ＭＳ Ｐゴシック"/>
          <w:color w:val="000000" w:themeColor="text1"/>
          <w:kern w:val="24"/>
          <w:sz w:val="24"/>
          <w:szCs w:val="24"/>
        </w:rPr>
      </w:pPr>
      <w:r w:rsidRPr="00CA11A5">
        <w:rPr>
          <w:rFonts w:ascii="Times New Roman" w:eastAsia="ＭＳ Ｐゴシック" w:hAnsi="Times New Roman" w:cs="ＭＳ Ｐゴシック"/>
          <w:color w:val="151515"/>
          <w:kern w:val="24"/>
          <w:sz w:val="24"/>
          <w:szCs w:val="24"/>
        </w:rPr>
        <w:t xml:space="preserve">Found that </w:t>
      </w:r>
      <w:r w:rsidRPr="00CA11A5">
        <w:rPr>
          <w:rFonts w:ascii="Times New Roman" w:eastAsia="ＭＳ Ｐゴシック" w:hAnsi="Times New Roman" w:cs="ＭＳ Ｐゴシック"/>
          <w:b/>
          <w:bCs/>
          <w:color w:val="000000" w:themeColor="text1"/>
          <w:kern w:val="24"/>
          <w:sz w:val="24"/>
          <w:szCs w:val="24"/>
          <w:lang w:val="en-GB"/>
        </w:rPr>
        <w:t xml:space="preserve">multi-pronged </w:t>
      </w:r>
      <w:r w:rsidRPr="00CA11A5">
        <w:rPr>
          <w:rFonts w:ascii="Times New Roman" w:eastAsia="ＭＳ Ｐゴシック" w:hAnsi="Times New Roman" w:cs="ＭＳ Ｐゴシック"/>
          <w:color w:val="000000" w:themeColor="text1"/>
          <w:kern w:val="24"/>
          <w:sz w:val="24"/>
          <w:szCs w:val="24"/>
          <w:lang w:val="en-GB"/>
        </w:rPr>
        <w:t xml:space="preserve">approaches that incorporate information or educational training, counselling or coping skills sessions, and physical exercise are most effective in </w:t>
      </w:r>
      <w:r w:rsidRPr="00CA11A5">
        <w:rPr>
          <w:rFonts w:ascii="Times New Roman" w:eastAsia="ＭＳ Ｐゴシック" w:hAnsi="Times New Roman" w:cs="ＭＳ Ｐゴシック"/>
          <w:color w:val="000000" w:themeColor="text1"/>
          <w:kern w:val="24"/>
          <w:sz w:val="24"/>
          <w:szCs w:val="24"/>
        </w:rPr>
        <w:t xml:space="preserve">helping employed patients with cancer return-to-work. </w:t>
      </w:r>
    </w:p>
    <w:p w14:paraId="1A47350A" w14:textId="77777777" w:rsidR="00CA11A5" w:rsidRPr="00CA11A5" w:rsidRDefault="00CA11A5" w:rsidP="00CA11A5">
      <w:pPr>
        <w:pStyle w:val="NormalWeb"/>
        <w:spacing w:before="0" w:beforeAutospacing="0" w:after="0" w:afterAutospacing="0"/>
        <w:textAlignment w:val="baseline"/>
        <w:rPr>
          <w:rFonts w:ascii="Times New Roman" w:hAnsi="Times New Roman"/>
          <w:sz w:val="24"/>
          <w:szCs w:val="24"/>
        </w:rPr>
      </w:pPr>
    </w:p>
    <w:p w14:paraId="4BF18F88" w14:textId="0BF64645" w:rsidR="00CA11A5" w:rsidRPr="009D689D" w:rsidRDefault="00CA11A5" w:rsidP="00CA11A5">
      <w:pPr>
        <w:spacing w:after="0" w:line="240" w:lineRule="auto"/>
        <w:rPr>
          <w:rFonts w:ascii="Times New Roman" w:hAnsi="Times New Roman" w:cs="Times New Roman"/>
          <w:sz w:val="24"/>
          <w:szCs w:val="24"/>
        </w:rPr>
      </w:pPr>
      <w:r>
        <w:rPr>
          <w:rFonts w:ascii="Times New Roman" w:hAnsi="Times New Roman" w:cs="Times New Roman"/>
          <w:sz w:val="24"/>
          <w:szCs w:val="24"/>
        </w:rPr>
        <w:t>Slide 4</w:t>
      </w:r>
      <w:r w:rsidRPr="009D689D">
        <w:rPr>
          <w:rFonts w:ascii="Times New Roman" w:hAnsi="Times New Roman" w:cs="Times New Roman"/>
          <w:sz w:val="24"/>
          <w:szCs w:val="24"/>
        </w:rPr>
        <w:t xml:space="preserve">: Overview of KTER’s Research related to Business </w:t>
      </w:r>
    </w:p>
    <w:p w14:paraId="37BF3A90" w14:textId="77777777" w:rsidR="00EE0D11" w:rsidRPr="009D689D" w:rsidRDefault="00EE0D11" w:rsidP="00EE0D11">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R.2) Conducted 12 focus groups with members of the business community, asking them to describe factors that impede or facilitate the use of employment research in particular, and information more generally.</w:t>
      </w:r>
    </w:p>
    <w:p w14:paraId="3E36815A" w14:textId="77777777" w:rsidR="00EE0D11" w:rsidRPr="009D689D" w:rsidRDefault="00EE0D11" w:rsidP="00EE0D11">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R.3) Based on R2 findings, designed KT strategy to be tested for effectiveness in promoting use of information about federal legislation regarding reasonable accommodations for employees with cancer</w:t>
      </w:r>
    </w:p>
    <w:p w14:paraId="4C0D27C5" w14:textId="77777777" w:rsidR="00EE0D11" w:rsidRPr="009D689D" w:rsidRDefault="00EE0D11" w:rsidP="00EE0D11">
      <w:pPr>
        <w:spacing w:after="0" w:line="240" w:lineRule="auto"/>
        <w:rPr>
          <w:rFonts w:ascii="Times New Roman" w:hAnsi="Times New Roman" w:cs="Times New Roman"/>
          <w:sz w:val="24"/>
          <w:szCs w:val="24"/>
        </w:rPr>
      </w:pPr>
    </w:p>
    <w:p w14:paraId="6402AEFB" w14:textId="502F2556" w:rsidR="00092609" w:rsidRPr="009D689D" w:rsidRDefault="00CA11A5" w:rsidP="00092609">
      <w:pPr>
        <w:spacing w:after="0" w:line="240" w:lineRule="auto"/>
        <w:rPr>
          <w:rFonts w:ascii="Times New Roman" w:hAnsi="Times New Roman" w:cs="Times New Roman"/>
          <w:bCs/>
          <w:color w:val="1A4454"/>
          <w:sz w:val="24"/>
          <w:szCs w:val="24"/>
        </w:rPr>
      </w:pPr>
      <w:r>
        <w:rPr>
          <w:rFonts w:ascii="Times New Roman" w:hAnsi="Times New Roman" w:cs="Times New Roman"/>
          <w:sz w:val="24"/>
          <w:szCs w:val="24"/>
        </w:rPr>
        <w:t>Slide 5</w:t>
      </w:r>
      <w:r w:rsidR="00EE0D11" w:rsidRPr="009D689D">
        <w:rPr>
          <w:rFonts w:ascii="Times New Roman" w:hAnsi="Times New Roman" w:cs="Times New Roman"/>
          <w:sz w:val="24"/>
          <w:szCs w:val="24"/>
        </w:rPr>
        <w:t xml:space="preserve">: </w:t>
      </w:r>
      <w:r w:rsidR="00851AEE" w:rsidRPr="009D689D">
        <w:rPr>
          <w:rFonts w:ascii="Times New Roman" w:hAnsi="Times New Roman" w:cs="Times New Roman"/>
          <w:bCs/>
          <w:color w:val="1A4454"/>
          <w:sz w:val="24"/>
          <w:szCs w:val="24"/>
        </w:rPr>
        <w:t>Research Questions for R3</w:t>
      </w:r>
    </w:p>
    <w:p w14:paraId="19175503" w14:textId="77777777" w:rsidR="00017C02" w:rsidRPr="009D689D" w:rsidRDefault="00851AEE" w:rsidP="00017C02">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Does </w:t>
      </w:r>
      <w:r w:rsidRPr="009D689D">
        <w:rPr>
          <w:rFonts w:ascii="Times New Roman" w:hAnsi="Times New Roman" w:cs="Times New Roman"/>
          <w:color w:val="FF0000"/>
          <w:sz w:val="24"/>
          <w:szCs w:val="24"/>
        </w:rPr>
        <w:t>follow-up technical assistance</w:t>
      </w:r>
      <w:r w:rsidRPr="009D689D">
        <w:rPr>
          <w:rFonts w:ascii="Times New Roman" w:hAnsi="Times New Roman" w:cs="Times New Roman"/>
          <w:sz w:val="24"/>
          <w:szCs w:val="24"/>
        </w:rPr>
        <w:t xml:space="preserve"> (</w:t>
      </w:r>
      <w:r w:rsidRPr="009D689D">
        <w:rPr>
          <w:rFonts w:ascii="Times New Roman" w:hAnsi="Times New Roman" w:cs="Times New Roman"/>
          <w:i/>
          <w:iCs/>
          <w:sz w:val="24"/>
          <w:szCs w:val="24"/>
        </w:rPr>
        <w:t>KT strategy tested, using cluster randomized controlled trial</w:t>
      </w:r>
      <w:r w:rsidRPr="009D689D">
        <w:rPr>
          <w:rFonts w:ascii="Times New Roman" w:hAnsi="Times New Roman" w:cs="Times New Roman"/>
          <w:sz w:val="24"/>
          <w:szCs w:val="24"/>
        </w:rPr>
        <w:t xml:space="preserve">) </w:t>
      </w:r>
    </w:p>
    <w:p w14:paraId="2BFEAE66" w14:textId="77777777" w:rsidR="00017C02" w:rsidRPr="009D689D" w:rsidRDefault="00851AEE" w:rsidP="00017C02">
      <w:pPr>
        <w:pStyle w:val="ListParagraph"/>
        <w:numPr>
          <w:ilvl w:val="0"/>
          <w:numId w:val="7"/>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offered to employers, (</w:t>
      </w:r>
      <w:r w:rsidRPr="009D689D">
        <w:rPr>
          <w:rFonts w:ascii="Times New Roman" w:hAnsi="Times New Roman" w:cs="Times New Roman"/>
          <w:i/>
          <w:iCs/>
          <w:sz w:val="24"/>
          <w:szCs w:val="24"/>
        </w:rPr>
        <w:t>target audience</w:t>
      </w:r>
      <w:r w:rsidRPr="009D689D">
        <w:rPr>
          <w:rFonts w:ascii="Times New Roman" w:hAnsi="Times New Roman" w:cs="Times New Roman"/>
          <w:sz w:val="24"/>
          <w:szCs w:val="24"/>
        </w:rPr>
        <w:t>)</w:t>
      </w:r>
    </w:p>
    <w:p w14:paraId="13EDDBE6" w14:textId="77777777" w:rsidR="00017C02" w:rsidRPr="009D689D" w:rsidRDefault="00851AEE" w:rsidP="00E9170A">
      <w:pPr>
        <w:pStyle w:val="ListParagraph"/>
        <w:numPr>
          <w:ilvl w:val="0"/>
          <w:numId w:val="7"/>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who attend a webinar and receive other informational resources (</w:t>
      </w:r>
      <w:r w:rsidRPr="009D689D">
        <w:rPr>
          <w:rFonts w:ascii="Times New Roman" w:hAnsi="Times New Roman" w:cs="Times New Roman"/>
          <w:i/>
          <w:iCs/>
          <w:sz w:val="24"/>
          <w:szCs w:val="24"/>
        </w:rPr>
        <w:t>KT strategy delivered to all participants</w:t>
      </w:r>
      <w:r w:rsidRPr="009D689D">
        <w:rPr>
          <w:rFonts w:ascii="Times New Roman" w:hAnsi="Times New Roman" w:cs="Times New Roman"/>
          <w:sz w:val="24"/>
          <w:szCs w:val="24"/>
        </w:rPr>
        <w:t>)</w:t>
      </w:r>
    </w:p>
    <w:p w14:paraId="228DFEB4" w14:textId="77777777" w:rsidR="00071BA4" w:rsidRPr="009D689D" w:rsidRDefault="00851AEE" w:rsidP="00E9170A">
      <w:pPr>
        <w:pStyle w:val="ListParagraph"/>
        <w:numPr>
          <w:ilvl w:val="0"/>
          <w:numId w:val="7"/>
        </w:numPr>
        <w:spacing w:after="0" w:line="240" w:lineRule="auto"/>
        <w:rPr>
          <w:rFonts w:ascii="Times New Roman" w:hAnsi="Times New Roman" w:cs="Times New Roman"/>
          <w:sz w:val="24"/>
          <w:szCs w:val="24"/>
        </w:rPr>
      </w:pPr>
      <w:r w:rsidRPr="009D689D">
        <w:rPr>
          <w:rFonts w:ascii="Times New Roman" w:hAnsi="Times New Roman" w:cs="Times New Roman"/>
          <w:color w:val="151515"/>
          <w:sz w:val="24"/>
          <w:szCs w:val="24"/>
        </w:rPr>
        <w:t xml:space="preserve">delivering information about ADA and other federal legislation regarding reasonable accommodations for employees with cancer </w:t>
      </w:r>
      <w:r w:rsidRPr="009D689D">
        <w:rPr>
          <w:rFonts w:ascii="Times New Roman" w:hAnsi="Times New Roman" w:cs="Times New Roman"/>
          <w:sz w:val="24"/>
          <w:szCs w:val="24"/>
        </w:rPr>
        <w:t>(</w:t>
      </w:r>
      <w:r w:rsidRPr="009D689D">
        <w:rPr>
          <w:rFonts w:ascii="Times New Roman" w:hAnsi="Times New Roman" w:cs="Times New Roman"/>
          <w:i/>
          <w:iCs/>
          <w:sz w:val="24"/>
          <w:szCs w:val="24"/>
        </w:rPr>
        <w:t>content</w:t>
      </w:r>
      <w:r w:rsidRPr="009D689D">
        <w:rPr>
          <w:rFonts w:ascii="Times New Roman" w:hAnsi="Times New Roman" w:cs="Times New Roman"/>
          <w:sz w:val="24"/>
          <w:szCs w:val="24"/>
        </w:rPr>
        <w:t>)</w:t>
      </w:r>
    </w:p>
    <w:p w14:paraId="6B11D6B1" w14:textId="77777777" w:rsidR="00071BA4" w:rsidRPr="009D689D" w:rsidRDefault="00851AEE" w:rsidP="00E9170A">
      <w:pPr>
        <w:pStyle w:val="ListParagraph"/>
        <w:numPr>
          <w:ilvl w:val="0"/>
          <w:numId w:val="7"/>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help to sustain knowledge gains (</w:t>
      </w:r>
      <w:r w:rsidRPr="009D689D">
        <w:rPr>
          <w:rFonts w:ascii="Times New Roman" w:hAnsi="Times New Roman" w:cs="Times New Roman"/>
          <w:i/>
          <w:iCs/>
          <w:sz w:val="24"/>
          <w:szCs w:val="24"/>
        </w:rPr>
        <w:t>outcome 1</w:t>
      </w:r>
      <w:r w:rsidRPr="009D689D">
        <w:rPr>
          <w:rFonts w:ascii="Times New Roman" w:hAnsi="Times New Roman" w:cs="Times New Roman"/>
          <w:sz w:val="24"/>
          <w:szCs w:val="24"/>
        </w:rPr>
        <w:t>)</w:t>
      </w:r>
    </w:p>
    <w:p w14:paraId="34A47059" w14:textId="2666451B" w:rsidR="00F60630" w:rsidRPr="009D689D" w:rsidRDefault="00851AEE" w:rsidP="00E9170A">
      <w:pPr>
        <w:pStyle w:val="ListParagraph"/>
        <w:numPr>
          <w:ilvl w:val="0"/>
          <w:numId w:val="7"/>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and promote application? (</w:t>
      </w:r>
      <w:r w:rsidRPr="009D689D">
        <w:rPr>
          <w:rFonts w:ascii="Times New Roman" w:hAnsi="Times New Roman" w:cs="Times New Roman"/>
          <w:i/>
          <w:iCs/>
          <w:sz w:val="24"/>
          <w:szCs w:val="24"/>
        </w:rPr>
        <w:t>outcome 2</w:t>
      </w:r>
      <w:r w:rsidRPr="009D689D">
        <w:rPr>
          <w:rFonts w:ascii="Times New Roman" w:hAnsi="Times New Roman" w:cs="Times New Roman"/>
          <w:sz w:val="24"/>
          <w:szCs w:val="24"/>
        </w:rPr>
        <w:t>)</w:t>
      </w:r>
    </w:p>
    <w:p w14:paraId="2376E57F" w14:textId="77777777" w:rsidR="00F60630" w:rsidRPr="009D689D" w:rsidRDefault="00F60630" w:rsidP="00E9170A">
      <w:pPr>
        <w:pStyle w:val="Heading2"/>
        <w:ind w:left="0" w:firstLine="0"/>
        <w:rPr>
          <w:rFonts w:ascii="Times New Roman" w:cs="Times New Roman"/>
          <w:sz w:val="24"/>
          <w:szCs w:val="24"/>
        </w:rPr>
      </w:pPr>
    </w:p>
    <w:p w14:paraId="234EF77B" w14:textId="7FF8CC28" w:rsidR="00F60630" w:rsidRPr="009D689D" w:rsidRDefault="00B725E3" w:rsidP="00E9170A">
      <w:pPr>
        <w:pStyle w:val="Heading1"/>
        <w:ind w:left="0" w:firstLine="0"/>
        <w:rPr>
          <w:rFonts w:ascii="Times New Roman" w:cs="Times New Roman"/>
          <w:bCs/>
          <w:color w:val="1A4454"/>
          <w:sz w:val="24"/>
          <w:szCs w:val="24"/>
        </w:rPr>
      </w:pPr>
      <w:r>
        <w:rPr>
          <w:rFonts w:ascii="Times New Roman" w:cs="Times New Roman"/>
          <w:color w:val="1A4454"/>
          <w:sz w:val="24"/>
          <w:szCs w:val="24"/>
        </w:rPr>
        <w:t>Slide 6</w:t>
      </w:r>
      <w:r w:rsidR="00071BA4" w:rsidRPr="009D689D">
        <w:rPr>
          <w:rFonts w:ascii="Times New Roman" w:cs="Times New Roman"/>
          <w:color w:val="1A4454"/>
          <w:sz w:val="24"/>
          <w:szCs w:val="24"/>
        </w:rPr>
        <w:t xml:space="preserve">: </w:t>
      </w:r>
      <w:r w:rsidR="00851AEE" w:rsidRPr="009D689D">
        <w:rPr>
          <w:rFonts w:ascii="Times New Roman" w:cs="Times New Roman"/>
          <w:bCs/>
          <w:color w:val="1A4454"/>
          <w:sz w:val="24"/>
          <w:szCs w:val="24"/>
        </w:rPr>
        <w:t>Outcome Measurement</w:t>
      </w:r>
    </w:p>
    <w:p w14:paraId="06AD45A3" w14:textId="18E11621" w:rsidR="00071BA4" w:rsidRPr="009D689D" w:rsidRDefault="00477E81" w:rsidP="00E9170A">
      <w:pPr>
        <w:pStyle w:val="Heading1"/>
        <w:ind w:left="0" w:firstLine="0"/>
        <w:rPr>
          <w:rFonts w:ascii="Times New Roman" w:cs="Times New Roman"/>
          <w:color w:val="1A4454"/>
          <w:sz w:val="24"/>
          <w:szCs w:val="24"/>
        </w:rPr>
      </w:pPr>
      <w:r w:rsidRPr="009D689D">
        <w:rPr>
          <w:rFonts w:ascii="Times New Roman" w:cs="Times New Roman"/>
          <w:color w:val="1A4454"/>
          <w:sz w:val="24"/>
          <w:szCs w:val="24"/>
        </w:rPr>
        <w:t>Table</w:t>
      </w:r>
      <w:r w:rsidR="00071BA4" w:rsidRPr="009D689D">
        <w:rPr>
          <w:rFonts w:ascii="Times New Roman" w:cs="Times New Roman"/>
          <w:color w:val="1A4454"/>
          <w:sz w:val="24"/>
          <w:szCs w:val="24"/>
        </w:rPr>
        <w:t xml:space="preserve"> with 2 columns and 3 rows</w:t>
      </w:r>
      <w:r w:rsidR="00757F49" w:rsidRPr="009D689D">
        <w:rPr>
          <w:rFonts w:ascii="Times New Roman" w:cs="Times New Roman"/>
          <w:color w:val="1A4454"/>
          <w:sz w:val="24"/>
          <w:szCs w:val="24"/>
        </w:rPr>
        <w:t>, with row 1 as title of columns</w:t>
      </w:r>
    </w:p>
    <w:p w14:paraId="02072C52" w14:textId="77777777" w:rsidR="00071BA4" w:rsidRPr="009D689D" w:rsidRDefault="00071BA4" w:rsidP="00E9170A">
      <w:pPr>
        <w:pStyle w:val="Heading1"/>
        <w:ind w:left="0" w:firstLine="0"/>
        <w:rPr>
          <w:rFonts w:ascii="Times New Roman" w:cs="Times New Roman"/>
          <w:color w:val="1A4454"/>
          <w:sz w:val="24"/>
          <w:szCs w:val="24"/>
        </w:rPr>
      </w:pPr>
      <w:r w:rsidRPr="009D689D">
        <w:rPr>
          <w:rFonts w:ascii="Times New Roman" w:cs="Times New Roman"/>
          <w:color w:val="1A4454"/>
          <w:sz w:val="24"/>
          <w:szCs w:val="24"/>
        </w:rPr>
        <w:t>Column to the left, title “Targeted outcome”</w:t>
      </w:r>
    </w:p>
    <w:p w14:paraId="3694F6C6" w14:textId="0C96E23F" w:rsidR="00071BA4" w:rsidRPr="009D689D" w:rsidRDefault="00071BA4" w:rsidP="00E9170A">
      <w:pPr>
        <w:pStyle w:val="Heading1"/>
        <w:numPr>
          <w:ilvl w:val="0"/>
          <w:numId w:val="8"/>
        </w:numPr>
        <w:rPr>
          <w:rFonts w:ascii="Times New Roman" w:cs="Times New Roman"/>
          <w:bCs/>
          <w:color w:val="1A4454"/>
          <w:sz w:val="24"/>
          <w:szCs w:val="24"/>
        </w:rPr>
      </w:pPr>
      <w:r w:rsidRPr="009D689D">
        <w:rPr>
          <w:rFonts w:ascii="Times New Roman" w:cs="Times New Roman"/>
          <w:color w:val="1A4454"/>
          <w:sz w:val="24"/>
          <w:szCs w:val="24"/>
        </w:rPr>
        <w:t>Knowledge</w:t>
      </w:r>
    </w:p>
    <w:p w14:paraId="243D88C3" w14:textId="23C62551" w:rsidR="00071BA4" w:rsidRPr="009D689D" w:rsidRDefault="00071BA4" w:rsidP="00E9170A">
      <w:pPr>
        <w:pStyle w:val="Heading1"/>
        <w:numPr>
          <w:ilvl w:val="0"/>
          <w:numId w:val="8"/>
        </w:numPr>
        <w:rPr>
          <w:rFonts w:ascii="Times New Roman" w:cs="Times New Roman"/>
          <w:bCs/>
          <w:color w:val="1A4454"/>
          <w:sz w:val="24"/>
          <w:szCs w:val="24"/>
        </w:rPr>
      </w:pPr>
      <w:r w:rsidRPr="009D689D">
        <w:rPr>
          <w:rFonts w:ascii="Times New Roman" w:cs="Times New Roman"/>
          <w:color w:val="1A4454"/>
          <w:sz w:val="24"/>
          <w:szCs w:val="24"/>
        </w:rPr>
        <w:t xml:space="preserve">Behavior </w:t>
      </w:r>
    </w:p>
    <w:p w14:paraId="476AEE9E" w14:textId="77777777" w:rsidR="00071BA4" w:rsidRPr="009D689D" w:rsidRDefault="00071BA4" w:rsidP="00E9170A">
      <w:pPr>
        <w:pStyle w:val="Heading1"/>
        <w:rPr>
          <w:rFonts w:ascii="Times New Roman" w:cs="Times New Roman"/>
          <w:bCs/>
          <w:color w:val="1A4454"/>
          <w:sz w:val="24"/>
          <w:szCs w:val="24"/>
        </w:rPr>
      </w:pPr>
      <w:r w:rsidRPr="009D689D">
        <w:rPr>
          <w:rFonts w:ascii="Times New Roman" w:cs="Times New Roman"/>
          <w:bCs/>
          <w:color w:val="1A4454"/>
          <w:sz w:val="24"/>
          <w:szCs w:val="24"/>
        </w:rPr>
        <w:t>Column to the right, title “Measurement technique”</w:t>
      </w:r>
    </w:p>
    <w:p w14:paraId="39BF9E3C" w14:textId="77777777" w:rsidR="00757F49" w:rsidRPr="009D689D" w:rsidRDefault="00757F49" w:rsidP="00E9170A">
      <w:pPr>
        <w:pStyle w:val="Heading1"/>
        <w:numPr>
          <w:ilvl w:val="0"/>
          <w:numId w:val="9"/>
        </w:numPr>
        <w:rPr>
          <w:rFonts w:ascii="Times New Roman" w:cs="Times New Roman"/>
          <w:bCs/>
          <w:color w:val="1A4454"/>
          <w:sz w:val="24"/>
          <w:szCs w:val="24"/>
        </w:rPr>
      </w:pPr>
      <w:r w:rsidRPr="009D689D">
        <w:rPr>
          <w:rFonts w:ascii="Times New Roman" w:cs="Times New Roman"/>
          <w:color w:val="1A4454"/>
          <w:sz w:val="24"/>
          <w:szCs w:val="24"/>
        </w:rPr>
        <w:t>Pre-post-test of Knowledge (Criterion-based, 14 items)</w:t>
      </w:r>
    </w:p>
    <w:p w14:paraId="5095F1A4" w14:textId="77777777" w:rsidR="00757F49" w:rsidRPr="009D689D" w:rsidRDefault="00757F49" w:rsidP="00E9170A">
      <w:pPr>
        <w:pStyle w:val="Heading1"/>
        <w:numPr>
          <w:ilvl w:val="0"/>
          <w:numId w:val="9"/>
        </w:numPr>
        <w:rPr>
          <w:rFonts w:ascii="Times New Roman" w:cs="Times New Roman"/>
          <w:bCs/>
          <w:color w:val="1A4454"/>
          <w:sz w:val="24"/>
          <w:szCs w:val="24"/>
        </w:rPr>
      </w:pPr>
      <w:r w:rsidRPr="009D689D">
        <w:rPr>
          <w:rFonts w:ascii="Times New Roman" w:cs="Times New Roman"/>
          <w:color w:val="1A4454"/>
          <w:sz w:val="24"/>
          <w:szCs w:val="24"/>
        </w:rPr>
        <w:t>3-month check on knowledge retention and for behavioral change</w:t>
      </w:r>
    </w:p>
    <w:p w14:paraId="4F4B185E" w14:textId="77777777" w:rsidR="00757F49" w:rsidRPr="009D689D" w:rsidRDefault="00757F49" w:rsidP="00E9170A">
      <w:pPr>
        <w:pStyle w:val="Heading1"/>
        <w:rPr>
          <w:rFonts w:ascii="Times New Roman" w:cs="Times New Roman"/>
          <w:color w:val="1A4454"/>
          <w:sz w:val="24"/>
          <w:szCs w:val="24"/>
        </w:rPr>
      </w:pPr>
    </w:p>
    <w:p w14:paraId="2778E1F5" w14:textId="1D2AED54" w:rsidR="00F60630" w:rsidRPr="009D689D" w:rsidRDefault="00B725E3" w:rsidP="00E9170A">
      <w:pPr>
        <w:pStyle w:val="Heading1"/>
        <w:rPr>
          <w:rFonts w:ascii="Times New Roman" w:cs="Times New Roman"/>
          <w:bCs/>
          <w:color w:val="1A4454"/>
          <w:sz w:val="24"/>
          <w:szCs w:val="24"/>
        </w:rPr>
      </w:pPr>
      <w:r>
        <w:rPr>
          <w:rFonts w:ascii="Times New Roman" w:cs="Times New Roman"/>
          <w:color w:val="1A4454"/>
          <w:sz w:val="24"/>
          <w:szCs w:val="24"/>
        </w:rPr>
        <w:t>Slide 7</w:t>
      </w:r>
      <w:r w:rsidR="00757F49" w:rsidRPr="009D689D">
        <w:rPr>
          <w:rFonts w:ascii="Times New Roman" w:cs="Times New Roman"/>
          <w:color w:val="1A4454"/>
          <w:sz w:val="24"/>
          <w:szCs w:val="24"/>
        </w:rPr>
        <w:t xml:space="preserve">: </w:t>
      </w:r>
      <w:r w:rsidR="00851AEE" w:rsidRPr="009D689D">
        <w:rPr>
          <w:rFonts w:ascii="Times New Roman" w:cs="Times New Roman"/>
          <w:bCs/>
          <w:color w:val="1A4454"/>
          <w:sz w:val="24"/>
          <w:szCs w:val="24"/>
        </w:rPr>
        <w:t>Barriers and Intervention Components</w:t>
      </w:r>
    </w:p>
    <w:p w14:paraId="78C11DA5" w14:textId="1343F89B" w:rsidR="00477E81" w:rsidRPr="009D689D" w:rsidRDefault="00477E81" w:rsidP="00E9170A">
      <w:pPr>
        <w:pStyle w:val="Heading1"/>
        <w:ind w:left="0" w:firstLine="0"/>
        <w:rPr>
          <w:rFonts w:ascii="Times New Roman" w:cs="Times New Roman"/>
          <w:color w:val="1A4454"/>
          <w:sz w:val="24"/>
          <w:szCs w:val="24"/>
        </w:rPr>
      </w:pPr>
      <w:r w:rsidRPr="009D689D">
        <w:rPr>
          <w:rFonts w:ascii="Times New Roman" w:cs="Times New Roman"/>
          <w:color w:val="1A4454"/>
          <w:sz w:val="24"/>
          <w:szCs w:val="24"/>
        </w:rPr>
        <w:t>Table with 2 columns and 4 rows, first row is the title for each column</w:t>
      </w:r>
    </w:p>
    <w:p w14:paraId="21C94145" w14:textId="60EA38EC" w:rsidR="0045768F" w:rsidRPr="009D689D" w:rsidRDefault="0045768F" w:rsidP="00E9170A">
      <w:pPr>
        <w:pStyle w:val="Heading1"/>
        <w:ind w:left="0" w:firstLine="0"/>
        <w:rPr>
          <w:rFonts w:ascii="Times New Roman" w:cs="Times New Roman"/>
          <w:color w:val="1A4454"/>
          <w:sz w:val="24"/>
          <w:szCs w:val="24"/>
        </w:rPr>
      </w:pPr>
      <w:r w:rsidRPr="009D689D">
        <w:rPr>
          <w:rFonts w:ascii="Times New Roman" w:cs="Times New Roman"/>
          <w:color w:val="1A4454"/>
          <w:sz w:val="24"/>
          <w:szCs w:val="24"/>
        </w:rPr>
        <w:t>Colum to the left, title “Barriers”</w:t>
      </w:r>
    </w:p>
    <w:p w14:paraId="14969D5D" w14:textId="36ADF7EC" w:rsidR="0045768F" w:rsidRPr="009D689D" w:rsidRDefault="0045768F" w:rsidP="00E9170A">
      <w:pPr>
        <w:pStyle w:val="ListParagraph"/>
        <w:numPr>
          <w:ilvl w:val="0"/>
          <w:numId w:val="10"/>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Value for other kinds of information; Time (timely)</w:t>
      </w:r>
    </w:p>
    <w:p w14:paraId="407A80DA" w14:textId="0D667B19" w:rsidR="0045768F" w:rsidRPr="009D689D" w:rsidRDefault="00C23E19" w:rsidP="00E9170A">
      <w:pPr>
        <w:pStyle w:val="ListParagraph"/>
        <w:numPr>
          <w:ilvl w:val="0"/>
          <w:numId w:val="10"/>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Time (fragmented)</w:t>
      </w:r>
    </w:p>
    <w:p w14:paraId="1FA1AEDC" w14:textId="04FF0259" w:rsidR="00C23E19" w:rsidRPr="009D689D" w:rsidRDefault="00C23E19" w:rsidP="00E9170A">
      <w:pPr>
        <w:pStyle w:val="ListParagraph"/>
        <w:numPr>
          <w:ilvl w:val="0"/>
          <w:numId w:val="10"/>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Time (scares resource)</w:t>
      </w:r>
    </w:p>
    <w:p w14:paraId="4609D5CA" w14:textId="4C2EFCBD" w:rsidR="00C23E19" w:rsidRPr="009D689D" w:rsidRDefault="00C23E19" w:rsidP="00E9170A">
      <w:p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Column to the right, title “Mode of delivery design feature”</w:t>
      </w:r>
    </w:p>
    <w:p w14:paraId="2C8E1EBF" w14:textId="77777777" w:rsidR="00F17559" w:rsidRPr="009D689D" w:rsidRDefault="00F17559" w:rsidP="00E9170A">
      <w:pPr>
        <w:pStyle w:val="ListParagraph"/>
        <w:numPr>
          <w:ilvl w:val="0"/>
          <w:numId w:val="11"/>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lastRenderedPageBreak/>
        <w:t>Research findings presented along with information about recent amendments to the Americans with Disabilities Act (ADA)</w:t>
      </w:r>
    </w:p>
    <w:p w14:paraId="03C9068A" w14:textId="77777777" w:rsidR="00162B7D" w:rsidRPr="009D689D" w:rsidRDefault="00162B7D" w:rsidP="00E9170A">
      <w:pPr>
        <w:pStyle w:val="ListParagraph"/>
        <w:numPr>
          <w:ilvl w:val="0"/>
          <w:numId w:val="11"/>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60-min webcast; archived for 24/7 access; follow-up information that can be reviewed as convenient to user</w:t>
      </w:r>
    </w:p>
    <w:p w14:paraId="49A5D0A8" w14:textId="77777777" w:rsidR="00162B7D" w:rsidRPr="009D689D" w:rsidRDefault="00162B7D" w:rsidP="00E9170A">
      <w:pPr>
        <w:pStyle w:val="ListParagraph"/>
        <w:numPr>
          <w:ilvl w:val="0"/>
          <w:numId w:val="11"/>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Research findings coupled with information related to “bottom-line” because knowledge of webcast content a legal mandate</w:t>
      </w:r>
    </w:p>
    <w:p w14:paraId="41A2AB9D" w14:textId="77777777" w:rsidR="00C23E19" w:rsidRPr="009D689D" w:rsidRDefault="00C23E19" w:rsidP="00E9170A">
      <w:pPr>
        <w:spacing w:after="0" w:line="240" w:lineRule="auto"/>
        <w:jc w:val="both"/>
        <w:rPr>
          <w:rFonts w:ascii="Times New Roman" w:hAnsi="Times New Roman" w:cs="Times New Roman"/>
          <w:sz w:val="24"/>
          <w:szCs w:val="24"/>
        </w:rPr>
      </w:pPr>
    </w:p>
    <w:p w14:paraId="6381374A" w14:textId="210A833F" w:rsidR="00F60630" w:rsidRPr="009D689D" w:rsidRDefault="00B725E3" w:rsidP="00E9170A">
      <w:pPr>
        <w:spacing w:after="0" w:line="240" w:lineRule="auto"/>
        <w:jc w:val="both"/>
        <w:rPr>
          <w:rFonts w:ascii="Times New Roman" w:hAnsi="Times New Roman" w:cs="Times New Roman"/>
          <w:bCs/>
          <w:color w:val="1A4454"/>
          <w:sz w:val="24"/>
          <w:szCs w:val="24"/>
        </w:rPr>
      </w:pPr>
      <w:r>
        <w:rPr>
          <w:rFonts w:ascii="Times New Roman" w:hAnsi="Times New Roman" w:cs="Times New Roman"/>
          <w:sz w:val="24"/>
          <w:szCs w:val="24"/>
        </w:rPr>
        <w:t>Slide 8</w:t>
      </w:r>
      <w:r w:rsidR="00162B7D" w:rsidRPr="009D689D">
        <w:rPr>
          <w:rFonts w:ascii="Times New Roman" w:hAnsi="Times New Roman" w:cs="Times New Roman"/>
          <w:sz w:val="24"/>
          <w:szCs w:val="24"/>
        </w:rPr>
        <w:t>:</w:t>
      </w:r>
      <w:r w:rsidR="00C02215" w:rsidRPr="009D689D">
        <w:rPr>
          <w:rFonts w:ascii="Times New Roman" w:hAnsi="Times New Roman" w:cs="Times New Roman"/>
          <w:sz w:val="24"/>
          <w:szCs w:val="24"/>
        </w:rPr>
        <w:t xml:space="preserve"> </w:t>
      </w:r>
      <w:r w:rsidR="00851AEE" w:rsidRPr="009D689D">
        <w:rPr>
          <w:rFonts w:ascii="Times New Roman" w:hAnsi="Times New Roman" w:cs="Times New Roman"/>
          <w:bCs/>
          <w:color w:val="1A4454"/>
          <w:sz w:val="24"/>
          <w:szCs w:val="24"/>
        </w:rPr>
        <w:t>Facilitators and Intervention Components</w:t>
      </w:r>
    </w:p>
    <w:p w14:paraId="4C94A5D7" w14:textId="26EFD4D1" w:rsidR="00C02215" w:rsidRPr="009D689D" w:rsidRDefault="00C02215" w:rsidP="00E9170A">
      <w:pPr>
        <w:spacing w:after="0" w:line="240" w:lineRule="auto"/>
        <w:jc w:val="both"/>
        <w:rPr>
          <w:rFonts w:ascii="Times New Roman" w:hAnsi="Times New Roman" w:cs="Times New Roman"/>
          <w:bCs/>
          <w:color w:val="1A4454"/>
          <w:sz w:val="24"/>
          <w:szCs w:val="24"/>
        </w:rPr>
      </w:pPr>
      <w:r w:rsidRPr="009D689D">
        <w:rPr>
          <w:rFonts w:ascii="Times New Roman" w:hAnsi="Times New Roman" w:cs="Times New Roman"/>
          <w:bCs/>
          <w:color w:val="1A4454"/>
          <w:sz w:val="24"/>
          <w:szCs w:val="24"/>
        </w:rPr>
        <w:t xml:space="preserve">Table with 2 columns and 5 rows with first row being the titles for the columns </w:t>
      </w:r>
    </w:p>
    <w:p w14:paraId="7DAB1274" w14:textId="23F32F40" w:rsidR="00C02215" w:rsidRPr="009D689D" w:rsidRDefault="00C02215" w:rsidP="00E9170A">
      <w:pPr>
        <w:spacing w:after="0" w:line="240" w:lineRule="auto"/>
        <w:jc w:val="both"/>
        <w:rPr>
          <w:rFonts w:ascii="Times New Roman" w:hAnsi="Times New Roman" w:cs="Times New Roman"/>
          <w:bCs/>
          <w:color w:val="1A4454"/>
          <w:sz w:val="24"/>
          <w:szCs w:val="24"/>
        </w:rPr>
      </w:pPr>
      <w:r w:rsidRPr="009D689D">
        <w:rPr>
          <w:rFonts w:ascii="Times New Roman" w:hAnsi="Times New Roman" w:cs="Times New Roman"/>
          <w:bCs/>
          <w:color w:val="1A4454"/>
          <w:sz w:val="24"/>
          <w:szCs w:val="24"/>
        </w:rPr>
        <w:t>Column to the left, title “Facilitator”</w:t>
      </w:r>
    </w:p>
    <w:p w14:paraId="7DEB4A69" w14:textId="06837750" w:rsidR="00C02215" w:rsidRPr="009D689D" w:rsidRDefault="00C02215" w:rsidP="00E9170A">
      <w:pPr>
        <w:pStyle w:val="ListParagraph"/>
        <w:numPr>
          <w:ilvl w:val="0"/>
          <w:numId w:val="12"/>
        </w:numPr>
        <w:spacing w:after="0" w:line="240" w:lineRule="auto"/>
        <w:jc w:val="both"/>
        <w:rPr>
          <w:rFonts w:ascii="Times New Roman" w:hAnsi="Times New Roman" w:cs="Times New Roman"/>
          <w:sz w:val="24"/>
          <w:szCs w:val="24"/>
        </w:rPr>
      </w:pPr>
      <w:r w:rsidRPr="009D689D">
        <w:rPr>
          <w:rFonts w:ascii="Times New Roman" w:hAnsi="Times New Roman" w:cs="Times New Roman"/>
          <w:bCs/>
          <w:sz w:val="24"/>
          <w:szCs w:val="24"/>
        </w:rPr>
        <w:t xml:space="preserve">Compliance orientation </w:t>
      </w:r>
    </w:p>
    <w:p w14:paraId="4A5750FC" w14:textId="77777777" w:rsidR="00C02215" w:rsidRPr="009D689D" w:rsidRDefault="00C02215" w:rsidP="00E9170A">
      <w:pPr>
        <w:pStyle w:val="ListParagraph"/>
        <w:numPr>
          <w:ilvl w:val="0"/>
          <w:numId w:val="12"/>
        </w:numPr>
        <w:spacing w:after="0" w:line="240" w:lineRule="auto"/>
        <w:jc w:val="both"/>
        <w:rPr>
          <w:rFonts w:ascii="Times New Roman" w:hAnsi="Times New Roman" w:cs="Times New Roman"/>
          <w:sz w:val="24"/>
          <w:szCs w:val="24"/>
        </w:rPr>
      </w:pPr>
      <w:r w:rsidRPr="009D689D">
        <w:rPr>
          <w:rFonts w:ascii="Times New Roman" w:hAnsi="Times New Roman" w:cs="Times New Roman"/>
          <w:bCs/>
          <w:sz w:val="24"/>
          <w:szCs w:val="24"/>
        </w:rPr>
        <w:t>Relation of information to their own company</w:t>
      </w:r>
    </w:p>
    <w:p w14:paraId="0BE8787B" w14:textId="77777777" w:rsidR="00C02215" w:rsidRPr="009D689D" w:rsidRDefault="00C02215" w:rsidP="00964C9C">
      <w:pPr>
        <w:pStyle w:val="ListParagraph"/>
        <w:numPr>
          <w:ilvl w:val="0"/>
          <w:numId w:val="12"/>
        </w:numPr>
        <w:spacing w:after="0" w:line="240" w:lineRule="auto"/>
        <w:jc w:val="both"/>
        <w:rPr>
          <w:rFonts w:ascii="Times New Roman" w:hAnsi="Times New Roman" w:cs="Times New Roman"/>
          <w:sz w:val="24"/>
          <w:szCs w:val="24"/>
        </w:rPr>
      </w:pPr>
      <w:r w:rsidRPr="009D689D">
        <w:rPr>
          <w:rFonts w:ascii="Times New Roman" w:hAnsi="Times New Roman" w:cs="Times New Roman"/>
          <w:bCs/>
          <w:sz w:val="24"/>
          <w:szCs w:val="24"/>
        </w:rPr>
        <w:t>Value for research-based employee training</w:t>
      </w:r>
    </w:p>
    <w:p w14:paraId="477CB5E5" w14:textId="77777777" w:rsidR="00C02215" w:rsidRPr="009D689D" w:rsidRDefault="00C02215" w:rsidP="00964C9C">
      <w:pPr>
        <w:pStyle w:val="ListParagraph"/>
        <w:numPr>
          <w:ilvl w:val="0"/>
          <w:numId w:val="12"/>
        </w:numPr>
        <w:spacing w:after="0" w:line="240" w:lineRule="auto"/>
        <w:jc w:val="both"/>
        <w:rPr>
          <w:rFonts w:ascii="Times New Roman" w:hAnsi="Times New Roman" w:cs="Times New Roman"/>
          <w:sz w:val="24"/>
          <w:szCs w:val="24"/>
        </w:rPr>
      </w:pPr>
      <w:r w:rsidRPr="009D689D">
        <w:rPr>
          <w:rFonts w:ascii="Times New Roman" w:hAnsi="Times New Roman" w:cs="Times New Roman"/>
          <w:bCs/>
          <w:sz w:val="24"/>
          <w:szCs w:val="24"/>
        </w:rPr>
        <w:t>Focus on a specific population</w:t>
      </w:r>
    </w:p>
    <w:p w14:paraId="43685EED" w14:textId="696CBBF2" w:rsidR="00C02215" w:rsidRPr="009D689D" w:rsidRDefault="00E9170A" w:rsidP="00964C9C">
      <w:p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Column to the right, title “Model of Delivery Design Feature”</w:t>
      </w:r>
    </w:p>
    <w:p w14:paraId="131EB626" w14:textId="77777777" w:rsidR="00E9170A" w:rsidRPr="009D689D" w:rsidRDefault="00E9170A" w:rsidP="00964C9C">
      <w:pPr>
        <w:pStyle w:val="ListParagraph"/>
        <w:numPr>
          <w:ilvl w:val="0"/>
          <w:numId w:val="13"/>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Facilitator from enforcing agency (Equal Employment Opportunity Commission): Mr. Joe Bontke</w:t>
      </w:r>
    </w:p>
    <w:p w14:paraId="60E27393" w14:textId="77777777" w:rsidR="00E9170A" w:rsidRPr="009D689D" w:rsidRDefault="00E9170A" w:rsidP="00964C9C">
      <w:pPr>
        <w:pStyle w:val="ListParagraph"/>
        <w:numPr>
          <w:ilvl w:val="0"/>
          <w:numId w:val="13"/>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 xml:space="preserve">Add-on of follow-up technical assistance with facilitator and Job Accommodations Network for tailored information provision </w:t>
      </w:r>
    </w:p>
    <w:p w14:paraId="7D89FDA8" w14:textId="47792457" w:rsidR="00E9170A" w:rsidRPr="009D689D" w:rsidRDefault="00E9170A" w:rsidP="00964C9C">
      <w:pPr>
        <w:pStyle w:val="ListParagraph"/>
        <w:numPr>
          <w:ilvl w:val="0"/>
          <w:numId w:val="13"/>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Facilitator an experienced trainer; offer of HRCI and CRC credit</w:t>
      </w:r>
    </w:p>
    <w:p w14:paraId="0D740203" w14:textId="367DEFDA" w:rsidR="00E9170A" w:rsidRPr="009D689D" w:rsidRDefault="00E9170A" w:rsidP="00964C9C">
      <w:pPr>
        <w:pStyle w:val="ListParagraph"/>
        <w:numPr>
          <w:ilvl w:val="0"/>
          <w:numId w:val="13"/>
        </w:numPr>
        <w:spacing w:after="0" w:line="240" w:lineRule="auto"/>
        <w:jc w:val="both"/>
        <w:rPr>
          <w:rFonts w:ascii="Times New Roman" w:hAnsi="Times New Roman" w:cs="Times New Roman"/>
          <w:sz w:val="24"/>
          <w:szCs w:val="24"/>
        </w:rPr>
      </w:pPr>
      <w:r w:rsidRPr="009D689D">
        <w:rPr>
          <w:rFonts w:ascii="Times New Roman" w:hAnsi="Times New Roman" w:cs="Times New Roman"/>
          <w:sz w:val="24"/>
          <w:szCs w:val="24"/>
        </w:rPr>
        <w:t>Kept focus on employees with cancer</w:t>
      </w:r>
    </w:p>
    <w:p w14:paraId="0D4FF399" w14:textId="77777777" w:rsidR="00E9170A" w:rsidRPr="009D689D" w:rsidRDefault="00E9170A" w:rsidP="00964C9C">
      <w:pPr>
        <w:spacing w:after="0" w:line="240" w:lineRule="auto"/>
        <w:jc w:val="both"/>
        <w:rPr>
          <w:rFonts w:ascii="Times New Roman" w:hAnsi="Times New Roman" w:cs="Times New Roman"/>
          <w:sz w:val="24"/>
          <w:szCs w:val="24"/>
        </w:rPr>
      </w:pPr>
    </w:p>
    <w:p w14:paraId="6F32F011" w14:textId="2DCD0D49" w:rsidR="00F60630" w:rsidRPr="009D689D" w:rsidRDefault="00592F2A" w:rsidP="00964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Slide 9</w:t>
      </w:r>
      <w:r w:rsidR="00E9170A" w:rsidRPr="009D689D">
        <w:rPr>
          <w:rFonts w:ascii="Times New Roman" w:hAnsi="Times New Roman" w:cs="Times New Roman"/>
          <w:sz w:val="24"/>
          <w:szCs w:val="24"/>
        </w:rPr>
        <w:t xml:space="preserve">: </w:t>
      </w:r>
      <w:r w:rsidR="00851AEE" w:rsidRPr="009D689D">
        <w:rPr>
          <w:rFonts w:ascii="Times New Roman" w:hAnsi="Times New Roman" w:cs="Times New Roman"/>
          <w:bCs/>
          <w:color w:val="1A4454"/>
          <w:sz w:val="24"/>
          <w:szCs w:val="24"/>
        </w:rPr>
        <w:t>Attrition</w:t>
      </w:r>
    </w:p>
    <w:p w14:paraId="23B9E21E" w14:textId="77777777" w:rsidR="00A80429" w:rsidRPr="009D689D" w:rsidRDefault="00851AEE" w:rsidP="00964C9C">
      <w:pPr>
        <w:pStyle w:val="Heading2"/>
        <w:numPr>
          <w:ilvl w:val="0"/>
          <w:numId w:val="14"/>
        </w:numPr>
        <w:rPr>
          <w:rFonts w:ascii="Times New Roman" w:cs="Times New Roman"/>
          <w:sz w:val="24"/>
          <w:szCs w:val="24"/>
        </w:rPr>
      </w:pPr>
      <w:r w:rsidRPr="009D689D">
        <w:rPr>
          <w:rFonts w:ascii="Times New Roman" w:cs="Times New Roman"/>
          <w:sz w:val="24"/>
          <w:szCs w:val="24"/>
        </w:rPr>
        <w:t>107 individuals completed pre-tests, post-tests, and were randomized to be eligible to receive TA</w:t>
      </w:r>
    </w:p>
    <w:p w14:paraId="0D1FB0BD" w14:textId="77777777" w:rsidR="00A80429"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55 randomized to be eligible to receive TA</w:t>
      </w:r>
    </w:p>
    <w:p w14:paraId="79F0F20A" w14:textId="77777777" w:rsidR="00A80429"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52 randomized to control</w:t>
      </w:r>
    </w:p>
    <w:p w14:paraId="768FA81D" w14:textId="77777777" w:rsidR="00A80429" w:rsidRPr="009D689D" w:rsidRDefault="00851AEE" w:rsidP="00964C9C">
      <w:pPr>
        <w:pStyle w:val="Heading2"/>
        <w:numPr>
          <w:ilvl w:val="0"/>
          <w:numId w:val="14"/>
        </w:numPr>
        <w:rPr>
          <w:rFonts w:ascii="Times New Roman" w:cs="Times New Roman"/>
          <w:sz w:val="24"/>
          <w:szCs w:val="24"/>
        </w:rPr>
      </w:pPr>
      <w:r w:rsidRPr="009D689D">
        <w:rPr>
          <w:rFonts w:ascii="Times New Roman" w:cs="Times New Roman"/>
          <w:sz w:val="24"/>
          <w:szCs w:val="24"/>
        </w:rPr>
        <w:t>50 individuals completed follow-up tests</w:t>
      </w:r>
    </w:p>
    <w:p w14:paraId="20114FE0" w14:textId="77777777" w:rsidR="00A80429"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27 TA</w:t>
      </w:r>
    </w:p>
    <w:p w14:paraId="27FDDD36" w14:textId="77777777" w:rsidR="00A644C2"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23 control</w:t>
      </w:r>
    </w:p>
    <w:p w14:paraId="03AE111F" w14:textId="77777777" w:rsidR="00A644C2" w:rsidRPr="009D689D" w:rsidRDefault="00851AEE" w:rsidP="00964C9C">
      <w:pPr>
        <w:pStyle w:val="Heading2"/>
        <w:numPr>
          <w:ilvl w:val="0"/>
          <w:numId w:val="14"/>
        </w:numPr>
        <w:rPr>
          <w:rFonts w:ascii="Times New Roman" w:cs="Times New Roman"/>
          <w:sz w:val="24"/>
          <w:szCs w:val="24"/>
        </w:rPr>
      </w:pPr>
      <w:r w:rsidRPr="009D689D">
        <w:rPr>
          <w:rFonts w:ascii="Times New Roman" w:cs="Times New Roman"/>
          <w:sz w:val="24"/>
          <w:szCs w:val="24"/>
        </w:rPr>
        <w:t>The level of attrition was roughly equivalent for both groups</w:t>
      </w:r>
    </w:p>
    <w:p w14:paraId="4F7D7F11" w14:textId="77777777" w:rsidR="00A644C2"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49.1% TA</w:t>
      </w:r>
    </w:p>
    <w:p w14:paraId="791170F3" w14:textId="1C809528" w:rsidR="00F60630" w:rsidRPr="009D689D" w:rsidRDefault="00851AEE" w:rsidP="00964C9C">
      <w:pPr>
        <w:pStyle w:val="Heading2"/>
        <w:numPr>
          <w:ilvl w:val="1"/>
          <w:numId w:val="14"/>
        </w:numPr>
        <w:rPr>
          <w:rFonts w:ascii="Times New Roman" w:cs="Times New Roman"/>
          <w:sz w:val="24"/>
          <w:szCs w:val="24"/>
        </w:rPr>
      </w:pPr>
      <w:r w:rsidRPr="009D689D">
        <w:rPr>
          <w:rFonts w:ascii="Times New Roman" w:cs="Times New Roman"/>
          <w:sz w:val="24"/>
          <w:szCs w:val="24"/>
        </w:rPr>
        <w:t>44.2% control</w:t>
      </w:r>
    </w:p>
    <w:p w14:paraId="0BE6DB2D" w14:textId="77777777" w:rsidR="00A644C2" w:rsidRPr="009D689D" w:rsidRDefault="00A644C2" w:rsidP="00964C9C">
      <w:pPr>
        <w:pStyle w:val="Heading1"/>
        <w:ind w:left="0" w:firstLine="0"/>
        <w:rPr>
          <w:rFonts w:ascii="Times New Roman" w:cs="Times New Roman"/>
          <w:bCs/>
          <w:color w:val="1A4454"/>
          <w:sz w:val="24"/>
          <w:szCs w:val="24"/>
        </w:rPr>
      </w:pPr>
    </w:p>
    <w:p w14:paraId="1AB1E067" w14:textId="0381B28F" w:rsidR="0014770B" w:rsidRPr="009D689D" w:rsidRDefault="00592F2A" w:rsidP="00964C9C">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10</w:t>
      </w:r>
      <w:r w:rsidR="00AC1A67"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Effects of TA</w:t>
      </w:r>
    </w:p>
    <w:p w14:paraId="7CABDE48" w14:textId="56600980" w:rsidR="002A0CEB" w:rsidRPr="009D689D" w:rsidRDefault="00592F2A" w:rsidP="00964C9C">
      <w:pPr>
        <w:pStyle w:val="Heading1"/>
        <w:numPr>
          <w:ilvl w:val="0"/>
          <w:numId w:val="15"/>
        </w:numPr>
        <w:rPr>
          <w:rFonts w:ascii="Times New Roman" w:cs="Times New Roman"/>
          <w:bCs/>
          <w:color w:val="1A4454"/>
          <w:sz w:val="24"/>
          <w:szCs w:val="24"/>
        </w:rPr>
      </w:pPr>
      <w:r>
        <w:rPr>
          <w:rFonts w:ascii="Times New Roman" w:cs="Times New Roman"/>
          <w:sz w:val="24"/>
          <w:szCs w:val="24"/>
        </w:rPr>
        <w:t>No individuals in the TA group used</w:t>
      </w:r>
      <w:r w:rsidR="00851AEE" w:rsidRPr="009D689D">
        <w:rPr>
          <w:rFonts w:ascii="Times New Roman" w:cs="Times New Roman"/>
          <w:sz w:val="24"/>
          <w:szCs w:val="24"/>
        </w:rPr>
        <w:t xml:space="preserve"> TA </w:t>
      </w:r>
    </w:p>
    <w:p w14:paraId="74E8E433" w14:textId="6BB5E4B9" w:rsidR="00F60630" w:rsidRPr="009D689D" w:rsidRDefault="00851AEE" w:rsidP="00964C9C">
      <w:pPr>
        <w:pStyle w:val="Heading1"/>
        <w:numPr>
          <w:ilvl w:val="0"/>
          <w:numId w:val="15"/>
        </w:numPr>
        <w:rPr>
          <w:rFonts w:ascii="Times New Roman" w:cs="Times New Roman"/>
          <w:sz w:val="24"/>
          <w:szCs w:val="24"/>
        </w:rPr>
      </w:pPr>
      <w:r w:rsidRPr="009D689D">
        <w:rPr>
          <w:rFonts w:ascii="Times New Roman" w:cs="Times New Roman"/>
          <w:sz w:val="24"/>
          <w:szCs w:val="24"/>
        </w:rPr>
        <w:t>No difference in the post-te</w:t>
      </w:r>
      <w:r w:rsidR="00AB4C77" w:rsidRPr="009D689D">
        <w:rPr>
          <w:rFonts w:ascii="Times New Roman" w:cs="Times New Roman"/>
          <w:sz w:val="24"/>
          <w:szCs w:val="24"/>
        </w:rPr>
        <w:t xml:space="preserve">st to follow-up scores between </w:t>
      </w:r>
      <w:r w:rsidRPr="009D689D">
        <w:rPr>
          <w:rFonts w:ascii="Times New Roman" w:cs="Times New Roman"/>
          <w:sz w:val="24"/>
          <w:szCs w:val="24"/>
        </w:rPr>
        <w:t xml:space="preserve">those randomized to be eligible for TA and the control group (b = -.83, </w:t>
      </w:r>
      <w:r w:rsidRPr="009D689D">
        <w:rPr>
          <w:rFonts w:ascii="Times New Roman" w:cs="Times New Roman"/>
          <w:i/>
          <w:iCs/>
          <w:sz w:val="24"/>
          <w:szCs w:val="24"/>
        </w:rPr>
        <w:t>p</w:t>
      </w:r>
      <w:r w:rsidRPr="009D689D">
        <w:rPr>
          <w:rFonts w:ascii="Times New Roman" w:cs="Times New Roman"/>
          <w:sz w:val="24"/>
          <w:szCs w:val="24"/>
        </w:rPr>
        <w:t xml:space="preserve"> &gt; .18)</w:t>
      </w:r>
    </w:p>
    <w:p w14:paraId="7D0AD4C6" w14:textId="77777777" w:rsidR="00903813" w:rsidRPr="009D689D" w:rsidRDefault="00903813" w:rsidP="00903813">
      <w:pPr>
        <w:rPr>
          <w:rFonts w:ascii="Times New Roman" w:hAnsi="Times New Roman" w:cs="Times New Roman"/>
          <w:sz w:val="24"/>
          <w:szCs w:val="24"/>
        </w:rPr>
      </w:pPr>
    </w:p>
    <w:p w14:paraId="2391B23B" w14:textId="72D93575" w:rsidR="00903813" w:rsidRPr="009D689D" w:rsidRDefault="00592F2A" w:rsidP="00903813">
      <w:pPr>
        <w:rPr>
          <w:rFonts w:ascii="Times New Roman" w:hAnsi="Times New Roman" w:cs="Times New Roman"/>
          <w:sz w:val="24"/>
          <w:szCs w:val="24"/>
        </w:rPr>
      </w:pPr>
      <w:r>
        <w:rPr>
          <w:rFonts w:ascii="Times New Roman" w:hAnsi="Times New Roman" w:cs="Times New Roman"/>
          <w:color w:val="000000"/>
          <w:sz w:val="24"/>
          <w:szCs w:val="24"/>
        </w:rPr>
        <w:lastRenderedPageBreak/>
        <w:t>Slide shows a b</w:t>
      </w:r>
      <w:r w:rsidR="00903813" w:rsidRPr="009D689D">
        <w:rPr>
          <w:rFonts w:ascii="Times New Roman" w:hAnsi="Times New Roman" w:cs="Times New Roman"/>
          <w:color w:val="000000"/>
          <w:sz w:val="24"/>
          <w:szCs w:val="24"/>
        </w:rPr>
        <w:t xml:space="preserve">ar chart showing two sets of two bars. In each set is one bar showing the mean score of the TA group, and another bar showing the mean score of the nonTA group. The first set shows the post-test mean and the other set the 3-month follow-up mean. The TA group means were 12.89 then 11.89. The NonTA group went from 12.39 to 12.22. </w:t>
      </w:r>
    </w:p>
    <w:p w14:paraId="258765B3" w14:textId="77777777" w:rsidR="00F60630" w:rsidRPr="009D689D" w:rsidRDefault="00F60630" w:rsidP="00964C9C">
      <w:pPr>
        <w:pStyle w:val="Heading2"/>
        <w:ind w:left="0" w:firstLine="0"/>
        <w:rPr>
          <w:rFonts w:ascii="Times New Roman" w:cs="Times New Roman"/>
          <w:sz w:val="24"/>
          <w:szCs w:val="24"/>
        </w:rPr>
      </w:pPr>
    </w:p>
    <w:p w14:paraId="56555087" w14:textId="07D2A4EC" w:rsidR="00F60630" w:rsidRPr="009D689D" w:rsidRDefault="00E4117C" w:rsidP="00964C9C">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11</w:t>
      </w:r>
      <w:r w:rsidR="002A0CEB"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Individual Change</w:t>
      </w:r>
    </w:p>
    <w:p w14:paraId="3F7820E2" w14:textId="16990B5F" w:rsidR="00964C9C" w:rsidRPr="009D689D" w:rsidRDefault="00903813" w:rsidP="00964C9C">
      <w:pPr>
        <w:spacing w:after="0" w:line="240" w:lineRule="auto"/>
        <w:rPr>
          <w:rFonts w:ascii="Times New Roman" w:hAnsi="Times New Roman" w:cs="Times New Roman"/>
          <w:color w:val="000000"/>
          <w:sz w:val="24"/>
          <w:szCs w:val="24"/>
        </w:rPr>
      </w:pPr>
      <w:r w:rsidRPr="009D689D">
        <w:rPr>
          <w:rFonts w:ascii="Times New Roman" w:hAnsi="Times New Roman" w:cs="Times New Roman"/>
          <w:color w:val="000000"/>
          <w:sz w:val="24"/>
          <w:szCs w:val="24"/>
        </w:rPr>
        <w:t xml:space="preserve">Bar chart showing two sets of two bars. In each set is one bar showing the mean score of the TA group, and another bar showing the mean score of the nonTA group. The first set shows the post-test mean and the other set the 3-month follow-up mean. The TA group means were 12.89 then 11.89. The NonTA group went from 12.39 to 12.22. </w:t>
      </w:r>
    </w:p>
    <w:p w14:paraId="0855F775" w14:textId="77777777" w:rsidR="00903813" w:rsidRPr="009D689D" w:rsidRDefault="00903813" w:rsidP="00964C9C">
      <w:pPr>
        <w:spacing w:after="0" w:line="240" w:lineRule="auto"/>
        <w:rPr>
          <w:rFonts w:ascii="Times New Roman" w:hAnsi="Times New Roman" w:cs="Times New Roman"/>
          <w:i/>
          <w:sz w:val="24"/>
          <w:szCs w:val="24"/>
        </w:rPr>
      </w:pPr>
    </w:p>
    <w:p w14:paraId="21FF3658" w14:textId="248A37A2" w:rsidR="00F60630" w:rsidRPr="009D689D" w:rsidRDefault="00E4117C" w:rsidP="00964C9C">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12</w:t>
      </w:r>
      <w:r w:rsidR="00EE4F82"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Organizational Change</w:t>
      </w:r>
    </w:p>
    <w:p w14:paraId="7E924342" w14:textId="33282F79" w:rsidR="00964C9C" w:rsidRPr="009D689D" w:rsidRDefault="00956DC6" w:rsidP="00964C9C">
      <w:pPr>
        <w:spacing w:after="0" w:line="240" w:lineRule="auto"/>
        <w:rPr>
          <w:rFonts w:ascii="Times New Roman" w:hAnsi="Times New Roman" w:cs="Times New Roman"/>
          <w:color w:val="000000"/>
          <w:sz w:val="24"/>
          <w:szCs w:val="24"/>
        </w:rPr>
      </w:pPr>
      <w:r w:rsidRPr="009D689D">
        <w:rPr>
          <w:rFonts w:ascii="Times New Roman" w:hAnsi="Times New Roman" w:cs="Times New Roman"/>
          <w:color w:val="000000"/>
          <w:sz w:val="24"/>
          <w:szCs w:val="24"/>
        </w:rPr>
        <w:t>Slide shows two bar charts, one for the TA group, one for the nonTA group. There are five bars in each chart, one for each point on a scale, with labels Strongly agree, agree, neutral value, disagree and strongly disagree. The data are counts. In the Control group (n=23), left to right counts are 0, 1, 17, 5, 0. In the TA group  (n=27), left to right counts are 1, 2, 16, 5 and 1.</w:t>
      </w:r>
    </w:p>
    <w:p w14:paraId="27B1F8B2" w14:textId="77777777" w:rsidR="00956DC6" w:rsidRPr="009D689D" w:rsidRDefault="00956DC6" w:rsidP="00964C9C">
      <w:pPr>
        <w:spacing w:after="0" w:line="240" w:lineRule="auto"/>
        <w:rPr>
          <w:rFonts w:ascii="Times New Roman" w:hAnsi="Times New Roman" w:cs="Times New Roman"/>
          <w:i/>
          <w:sz w:val="24"/>
          <w:szCs w:val="24"/>
        </w:rPr>
      </w:pPr>
    </w:p>
    <w:p w14:paraId="1CAD9CB9" w14:textId="39E99BFF" w:rsidR="00964C9C" w:rsidRPr="009D689D" w:rsidRDefault="00E4117C" w:rsidP="00964C9C">
      <w:pPr>
        <w:spacing w:after="0" w:line="240" w:lineRule="auto"/>
        <w:rPr>
          <w:rFonts w:ascii="Times New Roman" w:hAnsi="Times New Roman" w:cs="Times New Roman"/>
          <w:bCs/>
          <w:color w:val="1A4454"/>
          <w:sz w:val="24"/>
          <w:szCs w:val="24"/>
        </w:rPr>
      </w:pPr>
      <w:r>
        <w:rPr>
          <w:rFonts w:ascii="Times New Roman" w:hAnsi="Times New Roman" w:cs="Times New Roman"/>
          <w:sz w:val="24"/>
          <w:szCs w:val="24"/>
        </w:rPr>
        <w:t>Slide 13</w:t>
      </w:r>
      <w:r w:rsidR="00EE4F82" w:rsidRPr="009D689D">
        <w:rPr>
          <w:rFonts w:ascii="Times New Roman" w:hAnsi="Times New Roman" w:cs="Times New Roman"/>
          <w:sz w:val="24"/>
          <w:szCs w:val="24"/>
        </w:rPr>
        <w:t xml:space="preserve">: </w:t>
      </w:r>
      <w:r w:rsidR="00851AEE" w:rsidRPr="009D689D">
        <w:rPr>
          <w:rFonts w:ascii="Times New Roman" w:hAnsi="Times New Roman" w:cs="Times New Roman"/>
          <w:bCs/>
          <w:color w:val="1A4454"/>
          <w:sz w:val="24"/>
          <w:szCs w:val="24"/>
        </w:rPr>
        <w:t>Qualitative follow-up</w:t>
      </w:r>
    </w:p>
    <w:p w14:paraId="53B48342" w14:textId="4B6213F6" w:rsidR="00F60630" w:rsidRPr="009D689D" w:rsidRDefault="00851AEE" w:rsidP="00964C9C">
      <w:pPr>
        <w:pStyle w:val="ListParagraph"/>
        <w:numPr>
          <w:ilvl w:val="0"/>
          <w:numId w:val="17"/>
        </w:num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Conducting follow-up interviews with those who reported changes to find out more. Most did not comment; those who did said change had to do with being more careful about confidentiality of employee data</w:t>
      </w:r>
      <w:r w:rsidRPr="009D689D">
        <w:rPr>
          <w:rFonts w:ascii="Times New Roman" w:hAnsi="Times New Roman" w:cs="Times New Roman"/>
          <w:sz w:val="24"/>
          <w:szCs w:val="24"/>
        </w:rPr>
        <w:br/>
      </w:r>
    </w:p>
    <w:p w14:paraId="06A8F2E4" w14:textId="26139AED" w:rsidR="00964C9C" w:rsidRPr="009D689D" w:rsidRDefault="00E4117C" w:rsidP="00964C9C">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14</w:t>
      </w:r>
      <w:r w:rsidR="00964C9C"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 xml:space="preserve">Subject Recruitment and Retention: Strategies for Research Participants </w:t>
      </w:r>
      <w:r w:rsidR="00851AEE" w:rsidRPr="009D689D">
        <w:rPr>
          <w:rFonts w:ascii="Times New Roman" w:cs="Times New Roman"/>
          <w:bCs/>
          <w:color w:val="1A4454"/>
          <w:sz w:val="24"/>
          <w:szCs w:val="24"/>
        </w:rPr>
        <w:br/>
        <w:t>from the Business Community</w:t>
      </w:r>
    </w:p>
    <w:p w14:paraId="4FFEE504" w14:textId="77777777" w:rsidR="00964C9C" w:rsidRPr="009D689D" w:rsidRDefault="00851AEE" w:rsidP="00964C9C">
      <w:pPr>
        <w:pStyle w:val="Heading1"/>
        <w:numPr>
          <w:ilvl w:val="0"/>
          <w:numId w:val="17"/>
        </w:numPr>
        <w:rPr>
          <w:rFonts w:ascii="Times New Roman" w:cs="Times New Roman"/>
          <w:bCs/>
          <w:color w:val="1A4454"/>
          <w:sz w:val="24"/>
          <w:szCs w:val="24"/>
        </w:rPr>
      </w:pPr>
      <w:r w:rsidRPr="009D689D">
        <w:rPr>
          <w:rFonts w:ascii="Times New Roman" w:cs="Times New Roman"/>
          <w:sz w:val="24"/>
          <w:szCs w:val="24"/>
        </w:rPr>
        <w:t>Endorsements (effect not measured)</w:t>
      </w:r>
    </w:p>
    <w:p w14:paraId="5A62880F" w14:textId="77777777" w:rsidR="00964C9C" w:rsidRPr="009D689D" w:rsidRDefault="00851AEE" w:rsidP="00964C9C">
      <w:pPr>
        <w:pStyle w:val="Heading1"/>
        <w:numPr>
          <w:ilvl w:val="0"/>
          <w:numId w:val="17"/>
        </w:numPr>
        <w:rPr>
          <w:rFonts w:ascii="Times New Roman" w:cs="Times New Roman"/>
          <w:bCs/>
          <w:color w:val="1A4454"/>
          <w:sz w:val="24"/>
          <w:szCs w:val="24"/>
        </w:rPr>
      </w:pPr>
      <w:r w:rsidRPr="009D689D">
        <w:rPr>
          <w:rFonts w:ascii="Times New Roman" w:cs="Times New Roman"/>
          <w:sz w:val="24"/>
          <w:szCs w:val="24"/>
        </w:rPr>
        <w:t>Gift cards (effect not measured)</w:t>
      </w:r>
    </w:p>
    <w:p w14:paraId="02E754A4" w14:textId="77777777" w:rsidR="00964C9C" w:rsidRPr="009D689D" w:rsidRDefault="00851AEE" w:rsidP="00964C9C">
      <w:pPr>
        <w:pStyle w:val="Heading1"/>
        <w:numPr>
          <w:ilvl w:val="0"/>
          <w:numId w:val="17"/>
        </w:numPr>
        <w:rPr>
          <w:rFonts w:ascii="Times New Roman" w:cs="Times New Roman"/>
          <w:bCs/>
          <w:color w:val="1A4454"/>
          <w:sz w:val="24"/>
          <w:szCs w:val="24"/>
        </w:rPr>
      </w:pPr>
      <w:r w:rsidRPr="009D689D">
        <w:rPr>
          <w:rFonts w:ascii="Times New Roman" w:cs="Times New Roman"/>
          <w:sz w:val="24"/>
          <w:szCs w:val="24"/>
        </w:rPr>
        <w:t>Continuing education credits as incentive: impact on retention</w:t>
      </w:r>
    </w:p>
    <w:p w14:paraId="2037F40A" w14:textId="7FA6C50E" w:rsidR="00F60630" w:rsidRPr="009D689D" w:rsidRDefault="00851AEE" w:rsidP="00964C9C">
      <w:pPr>
        <w:pStyle w:val="Heading1"/>
        <w:numPr>
          <w:ilvl w:val="0"/>
          <w:numId w:val="17"/>
        </w:numPr>
        <w:rPr>
          <w:rFonts w:ascii="Times New Roman" w:cs="Times New Roman"/>
          <w:bCs/>
          <w:color w:val="1A4454"/>
          <w:sz w:val="24"/>
          <w:szCs w:val="24"/>
        </w:rPr>
      </w:pPr>
      <w:r w:rsidRPr="009D689D">
        <w:rPr>
          <w:rFonts w:ascii="Times New Roman" w:cs="Times New Roman"/>
          <w:sz w:val="24"/>
          <w:szCs w:val="24"/>
        </w:rPr>
        <w:t>Renting lists: costs per enrollee</w:t>
      </w:r>
    </w:p>
    <w:p w14:paraId="1D99F0E3" w14:textId="77777777" w:rsidR="00F60630" w:rsidRPr="009D689D" w:rsidRDefault="00F60630" w:rsidP="00080C74">
      <w:pPr>
        <w:pStyle w:val="Heading2"/>
        <w:ind w:left="0" w:firstLine="0"/>
        <w:rPr>
          <w:rFonts w:ascii="Times New Roman" w:cs="Times New Roman"/>
          <w:sz w:val="24"/>
          <w:szCs w:val="24"/>
        </w:rPr>
      </w:pPr>
    </w:p>
    <w:p w14:paraId="35BAF25B" w14:textId="3BCC1F74" w:rsidR="00F60630" w:rsidRPr="009D689D" w:rsidRDefault="00384666" w:rsidP="00080C74">
      <w:pPr>
        <w:pStyle w:val="Heading1"/>
        <w:ind w:left="0" w:firstLine="0"/>
        <w:rPr>
          <w:rFonts w:ascii="Times New Roman" w:cs="Times New Roman"/>
          <w:bCs/>
          <w:color w:val="1A4454"/>
          <w:sz w:val="24"/>
          <w:szCs w:val="24"/>
        </w:rPr>
      </w:pPr>
      <w:r w:rsidRPr="009D689D">
        <w:rPr>
          <w:rFonts w:ascii="Times New Roman" w:cs="Times New Roman"/>
          <w:bCs/>
          <w:color w:val="1A4454"/>
          <w:sz w:val="24"/>
          <w:szCs w:val="24"/>
        </w:rPr>
        <w:t xml:space="preserve">Slide </w:t>
      </w:r>
      <w:r w:rsidR="002A6972">
        <w:rPr>
          <w:rFonts w:ascii="Times New Roman" w:cs="Times New Roman"/>
          <w:bCs/>
          <w:color w:val="1A4454"/>
          <w:sz w:val="24"/>
          <w:szCs w:val="24"/>
        </w:rPr>
        <w:t>15</w:t>
      </w:r>
      <w:r w:rsidR="00953A47"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Effects of CRCC Incentives</w:t>
      </w:r>
    </w:p>
    <w:p w14:paraId="5C3AD96E" w14:textId="77777777" w:rsidR="00C72CEB" w:rsidRPr="009D689D" w:rsidRDefault="00851AEE" w:rsidP="00C72CEB">
      <w:pPr>
        <w:pStyle w:val="Heading2"/>
        <w:numPr>
          <w:ilvl w:val="0"/>
          <w:numId w:val="18"/>
        </w:numPr>
        <w:rPr>
          <w:rFonts w:ascii="Times New Roman" w:cs="Times New Roman"/>
          <w:sz w:val="24"/>
          <w:szCs w:val="24"/>
        </w:rPr>
      </w:pPr>
      <w:r w:rsidRPr="009D689D">
        <w:rPr>
          <w:rFonts w:ascii="Times New Roman" w:cs="Times New Roman"/>
          <w:sz w:val="24"/>
          <w:szCs w:val="24"/>
        </w:rPr>
        <w:t>53 of the original 209 individuals (17%) elected to receive rehabilitation counseling continuing education units (CRCC) as an incentive for completing post- and 3mo follow-up tests.</w:t>
      </w:r>
    </w:p>
    <w:p w14:paraId="3BC08512" w14:textId="77777777" w:rsidR="00C72CEB" w:rsidRPr="009D689D" w:rsidRDefault="00851AEE" w:rsidP="00C72CEB">
      <w:pPr>
        <w:pStyle w:val="Heading2"/>
        <w:numPr>
          <w:ilvl w:val="0"/>
          <w:numId w:val="18"/>
        </w:numPr>
        <w:rPr>
          <w:rFonts w:ascii="Times New Roman" w:cs="Times New Roman"/>
          <w:sz w:val="24"/>
          <w:szCs w:val="24"/>
        </w:rPr>
      </w:pPr>
      <w:r w:rsidRPr="009D689D">
        <w:rPr>
          <w:rFonts w:ascii="Times New Roman" w:cs="Times New Roman"/>
          <w:sz w:val="24"/>
          <w:szCs w:val="24"/>
        </w:rPr>
        <w:t>We found no significant relationship between CRCC incentives and retention at:</w:t>
      </w:r>
    </w:p>
    <w:p w14:paraId="74B623BC" w14:textId="77777777" w:rsidR="00C72CEB" w:rsidRPr="009D689D" w:rsidRDefault="00851AEE" w:rsidP="00C72CEB">
      <w:pPr>
        <w:pStyle w:val="Heading2"/>
        <w:numPr>
          <w:ilvl w:val="1"/>
          <w:numId w:val="18"/>
        </w:numPr>
        <w:rPr>
          <w:rFonts w:ascii="Times New Roman" w:cs="Times New Roman"/>
          <w:sz w:val="24"/>
          <w:szCs w:val="24"/>
        </w:rPr>
      </w:pPr>
      <w:r w:rsidRPr="009D689D">
        <w:rPr>
          <w:rFonts w:ascii="Times New Roman" w:cs="Times New Roman"/>
          <w:sz w:val="24"/>
          <w:szCs w:val="24"/>
        </w:rPr>
        <w:t>Post-test (OR = .78, p &gt; .45)</w:t>
      </w:r>
    </w:p>
    <w:p w14:paraId="593291BE" w14:textId="0A85D7D9" w:rsidR="00F60630" w:rsidRPr="009D689D" w:rsidRDefault="00851AEE" w:rsidP="00C72CEB">
      <w:pPr>
        <w:pStyle w:val="Heading2"/>
        <w:numPr>
          <w:ilvl w:val="1"/>
          <w:numId w:val="18"/>
        </w:numPr>
        <w:rPr>
          <w:rFonts w:ascii="Times New Roman" w:cs="Times New Roman"/>
          <w:sz w:val="24"/>
          <w:szCs w:val="24"/>
        </w:rPr>
      </w:pPr>
      <w:r w:rsidRPr="009D689D">
        <w:rPr>
          <w:rFonts w:ascii="Times New Roman" w:cs="Times New Roman"/>
          <w:sz w:val="24"/>
          <w:szCs w:val="24"/>
        </w:rPr>
        <w:t>Follow-up (OR = .75, p &gt; .51)</w:t>
      </w:r>
    </w:p>
    <w:p w14:paraId="040DFF1E" w14:textId="77777777" w:rsidR="00F60630" w:rsidRPr="009D689D" w:rsidRDefault="00F60630" w:rsidP="00080C74">
      <w:pPr>
        <w:pStyle w:val="Heading2"/>
        <w:ind w:left="0" w:firstLine="0"/>
        <w:rPr>
          <w:rFonts w:ascii="Times New Roman" w:cs="Times New Roman"/>
          <w:sz w:val="24"/>
          <w:szCs w:val="24"/>
        </w:rPr>
      </w:pPr>
    </w:p>
    <w:p w14:paraId="53EC040C" w14:textId="38E3772F" w:rsidR="00970D3A" w:rsidRPr="009D689D" w:rsidRDefault="002A6972" w:rsidP="00970D3A">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16</w:t>
      </w:r>
      <w:r w:rsidR="00970D3A"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Effects of HRCI Incentive</w:t>
      </w:r>
    </w:p>
    <w:p w14:paraId="4B9EB3FA" w14:textId="77777777" w:rsidR="009457A5" w:rsidRPr="009D689D" w:rsidRDefault="00851AEE" w:rsidP="009457A5">
      <w:pPr>
        <w:pStyle w:val="Heading1"/>
        <w:numPr>
          <w:ilvl w:val="0"/>
          <w:numId w:val="19"/>
        </w:numPr>
        <w:rPr>
          <w:rFonts w:ascii="Times New Roman" w:cs="Times New Roman"/>
          <w:bCs/>
          <w:color w:val="1A4454"/>
          <w:sz w:val="24"/>
          <w:szCs w:val="24"/>
        </w:rPr>
      </w:pPr>
      <w:r w:rsidRPr="009D689D">
        <w:rPr>
          <w:rFonts w:ascii="Times New Roman" w:cs="Times New Roman"/>
          <w:sz w:val="24"/>
          <w:szCs w:val="24"/>
        </w:rPr>
        <w:t>309 individuals initially signed up and participated in the webcast</w:t>
      </w:r>
    </w:p>
    <w:p w14:paraId="486ADF1D" w14:textId="77777777" w:rsidR="009457A5" w:rsidRPr="009D689D" w:rsidRDefault="00851AEE" w:rsidP="009457A5">
      <w:pPr>
        <w:pStyle w:val="Heading1"/>
        <w:numPr>
          <w:ilvl w:val="0"/>
          <w:numId w:val="19"/>
        </w:numPr>
        <w:rPr>
          <w:rFonts w:ascii="Times New Roman" w:cs="Times New Roman"/>
          <w:bCs/>
          <w:color w:val="1A4454"/>
          <w:sz w:val="24"/>
          <w:szCs w:val="24"/>
        </w:rPr>
      </w:pPr>
      <w:r w:rsidRPr="009D689D">
        <w:rPr>
          <w:rFonts w:ascii="Times New Roman" w:cs="Times New Roman"/>
          <w:sz w:val="24"/>
          <w:szCs w:val="24"/>
        </w:rPr>
        <w:t>183 of these individuals (59%) elected to receive human resources continuing education units (HRCI) as an incentive for completing post- and 3mo follow-up tests</w:t>
      </w:r>
    </w:p>
    <w:p w14:paraId="43AC35AC" w14:textId="77777777" w:rsidR="009457A5" w:rsidRPr="009D689D" w:rsidRDefault="00851AEE" w:rsidP="009457A5">
      <w:pPr>
        <w:pStyle w:val="Heading1"/>
        <w:numPr>
          <w:ilvl w:val="0"/>
          <w:numId w:val="19"/>
        </w:numPr>
        <w:rPr>
          <w:rFonts w:ascii="Times New Roman" w:cs="Times New Roman"/>
          <w:bCs/>
          <w:color w:val="1A4454"/>
          <w:sz w:val="24"/>
          <w:szCs w:val="24"/>
        </w:rPr>
      </w:pPr>
      <w:r w:rsidRPr="009D689D">
        <w:rPr>
          <w:rFonts w:ascii="Times New Roman" w:cs="Times New Roman"/>
          <w:sz w:val="24"/>
          <w:szCs w:val="24"/>
        </w:rPr>
        <w:t>We found no significant relationship between HRCI incentives and retention at:</w:t>
      </w:r>
    </w:p>
    <w:p w14:paraId="700CBA23" w14:textId="77777777" w:rsidR="009457A5" w:rsidRPr="009D689D" w:rsidRDefault="00851AEE" w:rsidP="009457A5">
      <w:pPr>
        <w:pStyle w:val="Heading1"/>
        <w:numPr>
          <w:ilvl w:val="1"/>
          <w:numId w:val="19"/>
        </w:numPr>
        <w:rPr>
          <w:rFonts w:ascii="Times New Roman" w:cs="Times New Roman"/>
          <w:bCs/>
          <w:color w:val="1A4454"/>
          <w:sz w:val="24"/>
          <w:szCs w:val="24"/>
        </w:rPr>
      </w:pPr>
      <w:r w:rsidRPr="009D689D">
        <w:rPr>
          <w:rFonts w:ascii="Times New Roman" w:cs="Times New Roman"/>
          <w:sz w:val="24"/>
          <w:szCs w:val="24"/>
        </w:rPr>
        <w:t>Post-test (OR = 1.10, p &gt; .69)</w:t>
      </w:r>
    </w:p>
    <w:p w14:paraId="2C18F33B" w14:textId="334DB366" w:rsidR="00F60630" w:rsidRPr="009D689D" w:rsidRDefault="00851AEE" w:rsidP="009457A5">
      <w:pPr>
        <w:pStyle w:val="Heading1"/>
        <w:numPr>
          <w:ilvl w:val="1"/>
          <w:numId w:val="19"/>
        </w:numPr>
        <w:rPr>
          <w:rFonts w:ascii="Times New Roman" w:cs="Times New Roman"/>
          <w:bCs/>
          <w:color w:val="1A4454"/>
          <w:sz w:val="24"/>
          <w:szCs w:val="24"/>
        </w:rPr>
      </w:pPr>
      <w:r w:rsidRPr="009D689D">
        <w:rPr>
          <w:rFonts w:ascii="Times New Roman" w:cs="Times New Roman"/>
          <w:sz w:val="24"/>
          <w:szCs w:val="24"/>
        </w:rPr>
        <w:lastRenderedPageBreak/>
        <w:t>Follow-up (OR = .64, p &gt; .14)</w:t>
      </w:r>
    </w:p>
    <w:p w14:paraId="5437E610" w14:textId="77777777" w:rsidR="00F60630" w:rsidRPr="009D689D" w:rsidRDefault="00F60630" w:rsidP="00080C74">
      <w:pPr>
        <w:pStyle w:val="Heading2"/>
        <w:ind w:left="0" w:firstLine="0"/>
        <w:rPr>
          <w:rFonts w:ascii="Times New Roman" w:cs="Times New Roman"/>
          <w:sz w:val="24"/>
          <w:szCs w:val="24"/>
        </w:rPr>
      </w:pPr>
    </w:p>
    <w:p w14:paraId="203F7223" w14:textId="47422ADA" w:rsidR="006D3C8A" w:rsidRPr="009D689D" w:rsidRDefault="002A6972" w:rsidP="006D3C8A">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17</w:t>
      </w:r>
      <w:r w:rsidR="006D3C8A"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SHRM e-blast</w:t>
      </w:r>
    </w:p>
    <w:p w14:paraId="7FFA00C9" w14:textId="77777777" w:rsidR="006D3C8A"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sz w:val="24"/>
          <w:szCs w:val="24"/>
        </w:rPr>
        <w:t>Cost: $2748.07 for one e-blast</w:t>
      </w:r>
    </w:p>
    <w:p w14:paraId="20F2BD96" w14:textId="77777777" w:rsidR="006D3C8A"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sz w:val="24"/>
          <w:szCs w:val="24"/>
        </w:rPr>
        <w:t>Emails sent: 5065</w:t>
      </w:r>
    </w:p>
    <w:p w14:paraId="76E02373" w14:textId="77777777" w:rsidR="006D3C8A"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sz w:val="24"/>
          <w:szCs w:val="24"/>
        </w:rPr>
        <w:t>Emails opened: 380 (7.5%)</w:t>
      </w:r>
    </w:p>
    <w:p w14:paraId="4620738E" w14:textId="77777777" w:rsidR="006D3C8A"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sz w:val="24"/>
          <w:szCs w:val="24"/>
        </w:rPr>
        <w:t>Clicks: 83 (21.8%)</w:t>
      </w:r>
    </w:p>
    <w:p w14:paraId="18433B9B" w14:textId="77777777" w:rsidR="006D3C8A"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sz w:val="24"/>
          <w:szCs w:val="24"/>
        </w:rPr>
        <w:t>Enrolled: 26 (31.3%)</w:t>
      </w:r>
    </w:p>
    <w:p w14:paraId="6045FDCB" w14:textId="66526BC5" w:rsidR="00F60630" w:rsidRPr="009D689D" w:rsidRDefault="00851AEE" w:rsidP="006D3C8A">
      <w:pPr>
        <w:pStyle w:val="Heading1"/>
        <w:numPr>
          <w:ilvl w:val="0"/>
          <w:numId w:val="20"/>
        </w:numPr>
        <w:rPr>
          <w:rFonts w:ascii="Times New Roman" w:cs="Times New Roman"/>
          <w:bCs/>
          <w:color w:val="1A4454"/>
          <w:sz w:val="24"/>
          <w:szCs w:val="24"/>
        </w:rPr>
      </w:pPr>
      <w:r w:rsidRPr="009D689D">
        <w:rPr>
          <w:rFonts w:ascii="Times New Roman" w:cs="Times New Roman"/>
          <w:i/>
          <w:iCs/>
          <w:sz w:val="24"/>
          <w:szCs w:val="24"/>
        </w:rPr>
        <w:t>Cost per enrollee = 26/$2700 = $105.70</w:t>
      </w:r>
    </w:p>
    <w:p w14:paraId="78263660" w14:textId="77777777" w:rsidR="00F60630" w:rsidRPr="009D689D" w:rsidRDefault="00F60630" w:rsidP="00080C74">
      <w:pPr>
        <w:pStyle w:val="Heading2"/>
        <w:ind w:left="0" w:firstLine="0"/>
        <w:rPr>
          <w:rFonts w:ascii="Times New Roman" w:cs="Times New Roman"/>
          <w:sz w:val="24"/>
          <w:szCs w:val="24"/>
        </w:rPr>
      </w:pPr>
    </w:p>
    <w:p w14:paraId="579717C3" w14:textId="5FEE230F" w:rsidR="008F502E" w:rsidRPr="009D689D" w:rsidRDefault="002A6972" w:rsidP="008F502E">
      <w:pPr>
        <w:pStyle w:val="Heading1"/>
        <w:ind w:left="0" w:firstLine="0"/>
        <w:rPr>
          <w:rFonts w:ascii="Times New Roman" w:cs="Times New Roman"/>
          <w:bCs/>
          <w:color w:val="1A4454"/>
          <w:sz w:val="24"/>
          <w:szCs w:val="24"/>
        </w:rPr>
      </w:pPr>
      <w:r>
        <w:rPr>
          <w:rFonts w:ascii="Times New Roman" w:cs="Times New Roman"/>
          <w:bCs/>
          <w:color w:val="1A4454"/>
          <w:sz w:val="24"/>
          <w:szCs w:val="24"/>
        </w:rPr>
        <w:t>Slide 18</w:t>
      </w:r>
      <w:r w:rsidR="008F502E"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HR.com e-blasts</w:t>
      </w:r>
    </w:p>
    <w:p w14:paraId="1E762935" w14:textId="77777777" w:rsidR="00187A66" w:rsidRPr="009D689D" w:rsidRDefault="00851AEE" w:rsidP="00187A66">
      <w:pPr>
        <w:pStyle w:val="Heading1"/>
        <w:numPr>
          <w:ilvl w:val="0"/>
          <w:numId w:val="21"/>
        </w:numPr>
        <w:rPr>
          <w:rFonts w:ascii="Times New Roman" w:cs="Times New Roman"/>
          <w:bCs/>
          <w:color w:val="1A4454"/>
          <w:sz w:val="24"/>
          <w:szCs w:val="24"/>
        </w:rPr>
      </w:pPr>
      <w:r w:rsidRPr="009D689D">
        <w:rPr>
          <w:rFonts w:ascii="Times New Roman" w:cs="Times New Roman"/>
          <w:sz w:val="24"/>
          <w:szCs w:val="24"/>
        </w:rPr>
        <w:t>Cost: $5700 for two e-blasts</w:t>
      </w:r>
    </w:p>
    <w:p w14:paraId="6EC2F142" w14:textId="77777777" w:rsidR="00187A66" w:rsidRPr="009D689D" w:rsidRDefault="00851AEE" w:rsidP="00187A66">
      <w:pPr>
        <w:pStyle w:val="Heading1"/>
        <w:numPr>
          <w:ilvl w:val="0"/>
          <w:numId w:val="21"/>
        </w:numPr>
        <w:rPr>
          <w:rFonts w:ascii="Times New Roman" w:cs="Times New Roman"/>
          <w:bCs/>
          <w:color w:val="1A4454"/>
          <w:sz w:val="24"/>
          <w:szCs w:val="24"/>
        </w:rPr>
      </w:pPr>
      <w:r w:rsidRPr="009D689D">
        <w:rPr>
          <w:rFonts w:ascii="Times New Roman" w:cs="Times New Roman"/>
          <w:sz w:val="24"/>
          <w:szCs w:val="24"/>
        </w:rPr>
        <w:t>Emails sent: 10,046, then 10,043</w:t>
      </w:r>
    </w:p>
    <w:p w14:paraId="1450B519" w14:textId="77777777" w:rsidR="00187A66" w:rsidRPr="009D689D" w:rsidRDefault="00851AEE" w:rsidP="00187A66">
      <w:pPr>
        <w:pStyle w:val="Heading1"/>
        <w:numPr>
          <w:ilvl w:val="0"/>
          <w:numId w:val="21"/>
        </w:numPr>
        <w:rPr>
          <w:rFonts w:ascii="Times New Roman" w:cs="Times New Roman"/>
          <w:bCs/>
          <w:color w:val="1A4454"/>
          <w:sz w:val="24"/>
          <w:szCs w:val="24"/>
        </w:rPr>
      </w:pPr>
      <w:r w:rsidRPr="009D689D">
        <w:rPr>
          <w:rFonts w:ascii="Times New Roman" w:cs="Times New Roman"/>
          <w:sz w:val="24"/>
          <w:szCs w:val="24"/>
        </w:rPr>
        <w:t>Emails opened: 1116 (11.1%); 983 (9.78%)</w:t>
      </w:r>
    </w:p>
    <w:p w14:paraId="713726BB" w14:textId="77777777" w:rsidR="00187A66" w:rsidRPr="009D689D" w:rsidRDefault="00851AEE" w:rsidP="00187A66">
      <w:pPr>
        <w:pStyle w:val="Heading1"/>
        <w:numPr>
          <w:ilvl w:val="0"/>
          <w:numId w:val="21"/>
        </w:numPr>
        <w:rPr>
          <w:rFonts w:ascii="Times New Roman" w:cs="Times New Roman"/>
          <w:bCs/>
          <w:color w:val="1A4454"/>
          <w:sz w:val="24"/>
          <w:szCs w:val="24"/>
        </w:rPr>
      </w:pPr>
      <w:r w:rsidRPr="009D689D">
        <w:rPr>
          <w:rFonts w:ascii="Times New Roman" w:cs="Times New Roman"/>
          <w:sz w:val="24"/>
          <w:szCs w:val="24"/>
        </w:rPr>
        <w:t>Clicks: 190 (3.4%); 158 (3.21%)</w:t>
      </w:r>
    </w:p>
    <w:p w14:paraId="5FAB89BD" w14:textId="77777777" w:rsidR="00304D06" w:rsidRPr="009D689D" w:rsidRDefault="00851AEE" w:rsidP="00D80AD1">
      <w:pPr>
        <w:pStyle w:val="Heading1"/>
        <w:numPr>
          <w:ilvl w:val="0"/>
          <w:numId w:val="21"/>
        </w:numPr>
        <w:rPr>
          <w:rFonts w:ascii="Times New Roman" w:cs="Times New Roman"/>
          <w:bCs/>
          <w:color w:val="1A4454"/>
          <w:sz w:val="24"/>
          <w:szCs w:val="24"/>
        </w:rPr>
      </w:pPr>
      <w:r w:rsidRPr="009D689D">
        <w:rPr>
          <w:rFonts w:ascii="Times New Roman" w:cs="Times New Roman"/>
          <w:sz w:val="24"/>
          <w:szCs w:val="24"/>
        </w:rPr>
        <w:t>Enrolled: 71 + 53 = 124</w:t>
      </w:r>
    </w:p>
    <w:p w14:paraId="643DE6E5" w14:textId="52CFF120" w:rsidR="00F60630" w:rsidRPr="009D689D" w:rsidRDefault="00851AEE" w:rsidP="00D80AD1">
      <w:pPr>
        <w:pStyle w:val="Heading1"/>
        <w:ind w:left="360" w:firstLine="0"/>
        <w:rPr>
          <w:rFonts w:ascii="Times New Roman" w:cs="Times New Roman"/>
          <w:bCs/>
          <w:color w:val="1A4454"/>
          <w:sz w:val="24"/>
          <w:szCs w:val="24"/>
        </w:rPr>
      </w:pPr>
      <w:r w:rsidRPr="009D689D">
        <w:rPr>
          <w:rFonts w:ascii="Times New Roman" w:cs="Times New Roman"/>
          <w:i/>
          <w:iCs/>
          <w:sz w:val="24"/>
          <w:szCs w:val="24"/>
        </w:rPr>
        <w:t>Cost per enrollee = 124/$5700 = $45.97</w:t>
      </w:r>
    </w:p>
    <w:p w14:paraId="352E960F" w14:textId="77777777" w:rsidR="000F193D" w:rsidRPr="009D689D" w:rsidRDefault="000F193D" w:rsidP="00D80AD1">
      <w:pPr>
        <w:spacing w:after="0" w:line="240" w:lineRule="auto"/>
        <w:rPr>
          <w:rFonts w:ascii="Times New Roman" w:hAnsi="Times New Roman" w:cs="Times New Roman"/>
          <w:sz w:val="24"/>
          <w:szCs w:val="24"/>
        </w:rPr>
      </w:pPr>
    </w:p>
    <w:p w14:paraId="2E3A6985" w14:textId="06D46BF8" w:rsidR="00F60630" w:rsidRPr="009D689D" w:rsidRDefault="000F193D" w:rsidP="00D80AD1">
      <w:pPr>
        <w:spacing w:after="0" w:line="240" w:lineRule="auto"/>
        <w:rPr>
          <w:rFonts w:ascii="Times New Roman" w:hAnsi="Times New Roman" w:cs="Times New Roman"/>
          <w:sz w:val="24"/>
          <w:szCs w:val="24"/>
        </w:rPr>
      </w:pPr>
      <w:r w:rsidRPr="009D689D">
        <w:rPr>
          <w:rFonts w:ascii="Times New Roman" w:hAnsi="Times New Roman" w:cs="Times New Roman"/>
          <w:sz w:val="24"/>
          <w:szCs w:val="24"/>
        </w:rPr>
        <w:t xml:space="preserve">Slide </w:t>
      </w:r>
      <w:r w:rsidR="00D80AD1" w:rsidRPr="009D689D">
        <w:rPr>
          <w:rFonts w:ascii="Times New Roman" w:hAnsi="Times New Roman" w:cs="Times New Roman"/>
          <w:sz w:val="24"/>
          <w:szCs w:val="24"/>
        </w:rPr>
        <w:t xml:space="preserve">19: </w:t>
      </w:r>
      <w:r w:rsidR="00851AEE" w:rsidRPr="009D689D">
        <w:rPr>
          <w:rFonts w:ascii="Times New Roman" w:hAnsi="Times New Roman" w:cs="Times New Roman"/>
          <w:bCs/>
          <w:color w:val="1A4454"/>
          <w:sz w:val="24"/>
          <w:szCs w:val="24"/>
        </w:rPr>
        <w:t>Budgeting for ‘cold’ business recruitment</w:t>
      </w:r>
    </w:p>
    <w:p w14:paraId="19FB34AA" w14:textId="77777777" w:rsidR="00D80AD1"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Mean cost/enrollee using both methods: 150/$8448.07 = $56.32</w:t>
      </w:r>
    </w:p>
    <w:p w14:paraId="3001E63B" w14:textId="55200B1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Assume target N of 76 and 66% attrition: Need 228 enrollees.</w:t>
      </w:r>
    </w:p>
    <w:p w14:paraId="5A3FCC7C"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Rented lists: $56.32 (228)</w:t>
      </w:r>
      <w:r w:rsidRPr="009D689D">
        <w:rPr>
          <w:rFonts w:ascii="Times New Roman" w:cs="Times New Roman"/>
          <w:sz w:val="24"/>
          <w:szCs w:val="24"/>
        </w:rPr>
        <w:tab/>
        <w:t xml:space="preserve">$12,840.96 </w:t>
      </w:r>
    </w:p>
    <w:p w14:paraId="5C948723" w14:textId="77777777" w:rsidR="00F60630" w:rsidRPr="009D689D" w:rsidRDefault="00851AEE" w:rsidP="00080C74">
      <w:pPr>
        <w:pStyle w:val="Heading2"/>
        <w:ind w:left="0" w:firstLine="0"/>
        <w:rPr>
          <w:rFonts w:ascii="Times New Roman" w:cs="Times New Roman"/>
          <w:sz w:val="24"/>
          <w:szCs w:val="24"/>
          <w:u w:val="single"/>
        </w:rPr>
      </w:pPr>
      <w:r w:rsidRPr="009D689D">
        <w:rPr>
          <w:rFonts w:ascii="Times New Roman" w:cs="Times New Roman"/>
          <w:sz w:val="24"/>
          <w:szCs w:val="24"/>
          <w:u w:val="single"/>
        </w:rPr>
        <w:t xml:space="preserve">Gift cards: $25 (76) </w:t>
      </w:r>
      <w:r w:rsidRPr="009D689D">
        <w:rPr>
          <w:rFonts w:ascii="Times New Roman" w:cs="Times New Roman"/>
          <w:sz w:val="24"/>
          <w:szCs w:val="24"/>
          <w:u w:val="single"/>
        </w:rPr>
        <w:tab/>
      </w:r>
      <w:r w:rsidRPr="009D689D">
        <w:rPr>
          <w:rFonts w:ascii="Times New Roman" w:cs="Times New Roman"/>
          <w:sz w:val="24"/>
          <w:szCs w:val="24"/>
          <w:u w:val="single"/>
        </w:rPr>
        <w:tab/>
        <w:t>$1900.00</w:t>
      </w:r>
      <w:r w:rsidRPr="009D689D">
        <w:rPr>
          <w:rFonts w:ascii="Times New Roman" w:cs="Times New Roman"/>
          <w:sz w:val="24"/>
          <w:szCs w:val="24"/>
          <w:u w:val="single"/>
        </w:rPr>
        <w:tab/>
      </w:r>
    </w:p>
    <w:p w14:paraId="49113E9A" w14:textId="77777777" w:rsidR="00F60630" w:rsidRPr="009D689D" w:rsidRDefault="00851AEE" w:rsidP="00080C74">
      <w:pPr>
        <w:pStyle w:val="Heading2"/>
        <w:ind w:left="0" w:firstLine="0"/>
        <w:rPr>
          <w:rFonts w:ascii="Times New Roman" w:cs="Times New Roman"/>
          <w:color w:val="FF0000"/>
          <w:sz w:val="24"/>
          <w:szCs w:val="24"/>
        </w:rPr>
      </w:pPr>
      <w:r w:rsidRPr="009D689D">
        <w:rPr>
          <w:rFonts w:ascii="Times New Roman" w:cs="Times New Roman"/>
          <w:color w:val="FF0000"/>
          <w:sz w:val="24"/>
          <w:szCs w:val="24"/>
        </w:rPr>
        <w:t xml:space="preserve">Total: </w:t>
      </w:r>
      <w:r w:rsidRPr="009D689D">
        <w:rPr>
          <w:rFonts w:ascii="Times New Roman" w:cs="Times New Roman"/>
          <w:color w:val="FF0000"/>
          <w:sz w:val="24"/>
          <w:szCs w:val="24"/>
        </w:rPr>
        <w:tab/>
      </w:r>
      <w:r w:rsidRPr="009D689D">
        <w:rPr>
          <w:rFonts w:ascii="Times New Roman" w:cs="Times New Roman"/>
          <w:color w:val="FF0000"/>
          <w:sz w:val="24"/>
          <w:szCs w:val="24"/>
        </w:rPr>
        <w:tab/>
      </w:r>
      <w:r w:rsidRPr="009D689D">
        <w:rPr>
          <w:rFonts w:ascii="Times New Roman" w:cs="Times New Roman"/>
          <w:color w:val="FF0000"/>
          <w:sz w:val="24"/>
          <w:szCs w:val="24"/>
        </w:rPr>
        <w:tab/>
      </w:r>
      <w:r w:rsidRPr="009D689D">
        <w:rPr>
          <w:rFonts w:ascii="Times New Roman" w:cs="Times New Roman"/>
          <w:color w:val="FF0000"/>
          <w:sz w:val="24"/>
          <w:szCs w:val="24"/>
        </w:rPr>
        <w:tab/>
        <w:t>= $14,740.96</w:t>
      </w:r>
    </w:p>
    <w:p w14:paraId="0DF175F4" w14:textId="77777777" w:rsidR="00D80AD1" w:rsidRPr="009D689D" w:rsidRDefault="00D80AD1" w:rsidP="00080C74">
      <w:pPr>
        <w:pStyle w:val="Heading1"/>
        <w:ind w:left="0" w:firstLine="0"/>
        <w:rPr>
          <w:rFonts w:ascii="Times New Roman" w:cs="Times New Roman"/>
          <w:sz w:val="24"/>
          <w:szCs w:val="24"/>
        </w:rPr>
      </w:pPr>
    </w:p>
    <w:p w14:paraId="6DF5DEDA" w14:textId="77777777" w:rsidR="00B9617B" w:rsidRPr="009D689D" w:rsidRDefault="00B9617B" w:rsidP="00655A44">
      <w:pPr>
        <w:pStyle w:val="Heading1"/>
        <w:ind w:left="0" w:firstLine="0"/>
        <w:rPr>
          <w:rFonts w:ascii="Times New Roman" w:cs="Times New Roman"/>
          <w:bCs/>
          <w:color w:val="1A4454"/>
          <w:sz w:val="24"/>
          <w:szCs w:val="24"/>
        </w:rPr>
      </w:pPr>
      <w:r w:rsidRPr="009D689D">
        <w:rPr>
          <w:rFonts w:ascii="Times New Roman" w:cs="Times New Roman"/>
          <w:sz w:val="24"/>
          <w:szCs w:val="24"/>
        </w:rPr>
        <w:t xml:space="preserve">Slide 20: </w:t>
      </w:r>
      <w:r w:rsidR="00851AEE" w:rsidRPr="009D689D">
        <w:rPr>
          <w:rFonts w:ascii="Times New Roman" w:cs="Times New Roman"/>
          <w:bCs/>
          <w:color w:val="1A4454"/>
          <w:sz w:val="24"/>
          <w:szCs w:val="24"/>
        </w:rPr>
        <w:t>Thoughts about future research</w:t>
      </w:r>
    </w:p>
    <w:p w14:paraId="3DA5C600" w14:textId="77777777" w:rsidR="0014626D" w:rsidRPr="009D689D" w:rsidRDefault="00851AEE" w:rsidP="0014626D">
      <w:pPr>
        <w:pStyle w:val="Heading1"/>
        <w:numPr>
          <w:ilvl w:val="0"/>
          <w:numId w:val="23"/>
        </w:numPr>
        <w:rPr>
          <w:rFonts w:ascii="Times New Roman" w:cs="Times New Roman"/>
          <w:sz w:val="24"/>
          <w:szCs w:val="24"/>
        </w:rPr>
      </w:pPr>
      <w:r w:rsidRPr="009D689D">
        <w:rPr>
          <w:rFonts w:ascii="Times New Roman" w:cs="Times New Roman"/>
          <w:sz w:val="24"/>
          <w:szCs w:val="24"/>
        </w:rPr>
        <w:t xml:space="preserve">Importance of context of decision-making: if no employee currently has cancer, no need to change behavior. </w:t>
      </w:r>
      <w:r w:rsidRPr="009D689D">
        <w:rPr>
          <w:rFonts w:ascii="Times New Roman" w:cs="Times New Roman"/>
          <w:sz w:val="24"/>
          <w:szCs w:val="24"/>
        </w:rPr>
        <w:br/>
        <w:t>Akin to emergency response training.</w:t>
      </w:r>
    </w:p>
    <w:p w14:paraId="42D9FEA6" w14:textId="77777777" w:rsidR="0014626D" w:rsidRPr="009D689D" w:rsidRDefault="00851AEE" w:rsidP="0014626D">
      <w:pPr>
        <w:pStyle w:val="Heading1"/>
        <w:numPr>
          <w:ilvl w:val="0"/>
          <w:numId w:val="23"/>
        </w:numPr>
        <w:rPr>
          <w:rFonts w:ascii="Times New Roman" w:cs="Times New Roman"/>
          <w:sz w:val="24"/>
          <w:szCs w:val="24"/>
        </w:rPr>
      </w:pPr>
      <w:r w:rsidRPr="009D689D">
        <w:rPr>
          <w:rFonts w:ascii="Times New Roman" w:cs="Times New Roman"/>
          <w:sz w:val="24"/>
          <w:szCs w:val="24"/>
        </w:rPr>
        <w:t>Related: impo</w:t>
      </w:r>
      <w:r w:rsidR="00655A44" w:rsidRPr="009D689D">
        <w:rPr>
          <w:rFonts w:ascii="Times New Roman" w:cs="Times New Roman"/>
          <w:sz w:val="24"/>
          <w:szCs w:val="24"/>
        </w:rPr>
        <w:t>rtance of longer-term follow-up</w:t>
      </w:r>
    </w:p>
    <w:p w14:paraId="7BBD3FD8" w14:textId="77777777" w:rsidR="0014626D" w:rsidRPr="009D689D" w:rsidRDefault="00851AEE" w:rsidP="0014626D">
      <w:pPr>
        <w:pStyle w:val="Heading1"/>
        <w:numPr>
          <w:ilvl w:val="0"/>
          <w:numId w:val="23"/>
        </w:numPr>
        <w:rPr>
          <w:rFonts w:ascii="Times New Roman" w:cs="Times New Roman"/>
          <w:sz w:val="24"/>
          <w:szCs w:val="24"/>
        </w:rPr>
      </w:pPr>
      <w:r w:rsidRPr="009D689D">
        <w:rPr>
          <w:rFonts w:ascii="Times New Roman" w:cs="Times New Roman"/>
          <w:sz w:val="24"/>
          <w:szCs w:val="24"/>
        </w:rPr>
        <w:t>Importance of measuri</w:t>
      </w:r>
      <w:r w:rsidR="00655A44" w:rsidRPr="009D689D">
        <w:rPr>
          <w:rFonts w:ascii="Times New Roman" w:cs="Times New Roman"/>
          <w:sz w:val="24"/>
          <w:szCs w:val="24"/>
        </w:rPr>
        <w:t>ng changes in behavioral intent</w:t>
      </w:r>
    </w:p>
    <w:p w14:paraId="412FFDD2" w14:textId="26474019" w:rsidR="00F60630" w:rsidRPr="009D689D" w:rsidRDefault="00851AEE" w:rsidP="0014626D">
      <w:pPr>
        <w:pStyle w:val="Heading1"/>
        <w:numPr>
          <w:ilvl w:val="0"/>
          <w:numId w:val="23"/>
        </w:numPr>
        <w:rPr>
          <w:rFonts w:ascii="Times New Roman" w:cs="Times New Roman"/>
          <w:sz w:val="24"/>
          <w:szCs w:val="24"/>
        </w:rPr>
      </w:pPr>
      <w:r w:rsidRPr="009D689D">
        <w:rPr>
          <w:rFonts w:ascii="Times New Roman" w:cs="Times New Roman"/>
          <w:sz w:val="24"/>
          <w:szCs w:val="24"/>
        </w:rPr>
        <w:t>Distinguishing between business (private industry) and employers (including government)</w:t>
      </w:r>
    </w:p>
    <w:p w14:paraId="0705C97B" w14:textId="77777777" w:rsidR="00B9617B" w:rsidRPr="009D689D" w:rsidRDefault="00B9617B" w:rsidP="00080C74">
      <w:pPr>
        <w:pStyle w:val="Heading1"/>
        <w:ind w:left="0" w:firstLine="0"/>
        <w:rPr>
          <w:rFonts w:ascii="Times New Roman" w:cs="Times New Roman"/>
          <w:bCs/>
          <w:color w:val="1A4454"/>
          <w:sz w:val="24"/>
          <w:szCs w:val="24"/>
        </w:rPr>
      </w:pPr>
    </w:p>
    <w:p w14:paraId="69293881" w14:textId="464FE050" w:rsidR="00F60630" w:rsidRPr="009D689D" w:rsidRDefault="00CD0325" w:rsidP="00080C74">
      <w:pPr>
        <w:pStyle w:val="Heading1"/>
        <w:ind w:left="0" w:firstLine="0"/>
        <w:rPr>
          <w:rFonts w:ascii="Times New Roman" w:cs="Times New Roman"/>
          <w:bCs/>
          <w:color w:val="1A4454"/>
          <w:sz w:val="24"/>
          <w:szCs w:val="24"/>
        </w:rPr>
      </w:pPr>
      <w:r w:rsidRPr="009D689D">
        <w:rPr>
          <w:rFonts w:ascii="Times New Roman" w:cs="Times New Roman"/>
          <w:bCs/>
          <w:color w:val="1A4454"/>
          <w:sz w:val="24"/>
          <w:szCs w:val="24"/>
        </w:rPr>
        <w:t xml:space="preserve">Slide 21: </w:t>
      </w:r>
      <w:r w:rsidR="00851AEE" w:rsidRPr="009D689D">
        <w:rPr>
          <w:rFonts w:ascii="Times New Roman" w:cs="Times New Roman"/>
          <w:bCs/>
          <w:color w:val="1A4454"/>
          <w:sz w:val="24"/>
          <w:szCs w:val="24"/>
        </w:rPr>
        <w:t>References</w:t>
      </w:r>
    </w:p>
    <w:p w14:paraId="0891A8D4" w14:textId="015D4778"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Cresswell, J.W. (1998). Qualitative inquiry and research design: choosing among five traditions. Thousand Oaks, CA: Sage Publications.</w:t>
      </w:r>
      <w:r w:rsidRPr="009D689D">
        <w:rPr>
          <w:rFonts w:ascii="Times New Roman" w:cs="Times New Roman"/>
          <w:sz w:val="24"/>
          <w:szCs w:val="24"/>
        </w:rPr>
        <w:br/>
        <w:t>Fong, C.J., Murphy, K.M., Westbrook, J.D., Markle, M. (2015). Behavioral, psychological, educational, and vocational interventions to facilitate employment outcomes for cancer survivors: a systematic review</w:t>
      </w:r>
      <w:r w:rsidRPr="009D689D">
        <w:rPr>
          <w:rFonts w:ascii="Times New Roman" w:cs="Times New Roman"/>
          <w:i/>
          <w:iCs/>
          <w:sz w:val="24"/>
          <w:szCs w:val="24"/>
        </w:rPr>
        <w:t>. Campbell Systematic Reviews,</w:t>
      </w:r>
      <w:r w:rsidRPr="009D689D">
        <w:rPr>
          <w:rFonts w:ascii="Times New Roman" w:cs="Times New Roman"/>
          <w:sz w:val="24"/>
          <w:szCs w:val="24"/>
        </w:rPr>
        <w:t xml:space="preserve"> 2015:5, doi 10.4072/csr.2015.5.</w:t>
      </w:r>
    </w:p>
    <w:p w14:paraId="2F09389F"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 xml:space="preserve">French, D., Green, S.E., O’Connor, D.A., McKenzie, J.E., Francis, J.J., et al. (2012). Developing theory-informed behavior change interventions to implement evidence into practice: a systematic approach using the Theoretical Domains Framework. </w:t>
      </w:r>
      <w:r w:rsidRPr="009D689D">
        <w:rPr>
          <w:rFonts w:ascii="Times New Roman" w:cs="Times New Roman"/>
          <w:i/>
          <w:iCs/>
          <w:sz w:val="24"/>
          <w:szCs w:val="24"/>
        </w:rPr>
        <w:t>Implementation Science, 7</w:t>
      </w:r>
      <w:r w:rsidRPr="009D689D">
        <w:rPr>
          <w:rFonts w:ascii="Times New Roman" w:cs="Times New Roman"/>
          <w:sz w:val="24"/>
          <w:szCs w:val="24"/>
        </w:rPr>
        <w:t>:38. http://www.implementationscience.com/content/7/1/38</w:t>
      </w:r>
      <w:r w:rsidRPr="009D689D">
        <w:rPr>
          <w:rFonts w:ascii="Times New Roman" w:cs="Times New Roman"/>
          <w:sz w:val="24"/>
          <w:szCs w:val="24"/>
        </w:rPr>
        <w:br/>
      </w:r>
    </w:p>
    <w:p w14:paraId="0FCDEA2E" w14:textId="114C93DB" w:rsidR="00F60630" w:rsidRPr="009D689D" w:rsidRDefault="00787D38" w:rsidP="00080C74">
      <w:pPr>
        <w:pStyle w:val="Heading1"/>
        <w:ind w:left="0" w:firstLine="0"/>
        <w:rPr>
          <w:rFonts w:ascii="Times New Roman" w:cs="Times New Roman"/>
          <w:bCs/>
          <w:color w:val="1A4454"/>
          <w:sz w:val="24"/>
          <w:szCs w:val="24"/>
        </w:rPr>
      </w:pPr>
      <w:r>
        <w:rPr>
          <w:rFonts w:ascii="Times New Roman" w:cs="Times New Roman"/>
          <w:bCs/>
          <w:color w:val="1A4454"/>
          <w:sz w:val="24"/>
          <w:szCs w:val="24"/>
        </w:rPr>
        <w:lastRenderedPageBreak/>
        <w:t>Slide 22</w:t>
      </w:r>
      <w:r w:rsidR="00CD0325" w:rsidRPr="009D689D">
        <w:rPr>
          <w:rFonts w:ascii="Times New Roman" w:cs="Times New Roman"/>
          <w:bCs/>
          <w:color w:val="1A4454"/>
          <w:sz w:val="24"/>
          <w:szCs w:val="24"/>
        </w:rPr>
        <w:t xml:space="preserve">: </w:t>
      </w:r>
      <w:r w:rsidR="00851AEE" w:rsidRPr="009D689D">
        <w:rPr>
          <w:rFonts w:ascii="Times New Roman" w:cs="Times New Roman"/>
          <w:bCs/>
          <w:color w:val="1A4454"/>
          <w:sz w:val="24"/>
          <w:szCs w:val="24"/>
        </w:rPr>
        <w:t>References</w:t>
      </w:r>
      <w:r>
        <w:rPr>
          <w:rFonts w:ascii="Times New Roman" w:cs="Times New Roman"/>
          <w:bCs/>
          <w:color w:val="1A4454"/>
          <w:sz w:val="24"/>
          <w:szCs w:val="24"/>
        </w:rPr>
        <w:t>, cont.</w:t>
      </w:r>
    </w:p>
    <w:p w14:paraId="699DA5F3" w14:textId="5B9B0AF8"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 xml:space="preserve">Job Accommodation Network (Original 2005, Updated 2007, Updated 2009, Updated 2010, Updated 2011, Updated 2012, Updated 2013, Updated 2014). </w:t>
      </w:r>
      <w:r w:rsidRPr="009D689D">
        <w:rPr>
          <w:rFonts w:ascii="Times New Roman" w:cs="Times New Roman"/>
          <w:i/>
          <w:iCs/>
          <w:sz w:val="24"/>
          <w:szCs w:val="24"/>
        </w:rPr>
        <w:t>Workplace accommodations: Low cost, high impact</w:t>
      </w:r>
      <w:r w:rsidRPr="009D689D">
        <w:rPr>
          <w:rFonts w:ascii="Times New Roman" w:cs="Times New Roman"/>
          <w:sz w:val="24"/>
          <w:szCs w:val="24"/>
        </w:rPr>
        <w:t xml:space="preserve">. Retrieved September 11, 2014, from </w:t>
      </w:r>
      <w:r w:rsidRPr="009D689D">
        <w:rPr>
          <w:rFonts w:ascii="Times New Roman" w:cs="Times New Roman"/>
          <w:sz w:val="24"/>
          <w:szCs w:val="24"/>
        </w:rPr>
        <w:br/>
        <w:t>http://AskJAN.o</w:t>
      </w:r>
      <w:r w:rsidR="00CD0325" w:rsidRPr="009D689D">
        <w:rPr>
          <w:rFonts w:ascii="Times New Roman" w:cs="Times New Roman"/>
          <w:sz w:val="24"/>
          <w:szCs w:val="24"/>
        </w:rPr>
        <w:t>rg/media/lowcosthighimpact.html</w:t>
      </w:r>
    </w:p>
    <w:p w14:paraId="5FF440CE"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 xml:space="preserve">Piantanida, M., Tananis, C. &amp; Grubs, R.E. (2004). Generating grounded theory of/for educational practice: the journey of three epistemorphs. </w:t>
      </w:r>
      <w:r w:rsidRPr="009D689D">
        <w:rPr>
          <w:rFonts w:ascii="Times New Roman" w:cs="Times New Roman"/>
          <w:i/>
          <w:iCs/>
          <w:sz w:val="24"/>
          <w:szCs w:val="24"/>
        </w:rPr>
        <w:t>International Journal of Qualitative Studies in Education, 17</w:t>
      </w:r>
      <w:r w:rsidRPr="009D689D">
        <w:rPr>
          <w:rFonts w:ascii="Times New Roman" w:cs="Times New Roman"/>
          <w:sz w:val="24"/>
          <w:szCs w:val="24"/>
        </w:rPr>
        <w:t>(3), pp. 325 – 346.</w:t>
      </w:r>
    </w:p>
    <w:p w14:paraId="44C79285" w14:textId="77777777" w:rsidR="00CD0325" w:rsidRPr="009D689D" w:rsidRDefault="00CD0325" w:rsidP="00080C74">
      <w:pPr>
        <w:pStyle w:val="Heading1"/>
        <w:ind w:left="0" w:firstLine="0"/>
        <w:rPr>
          <w:rFonts w:ascii="Times New Roman" w:cs="Times New Roman"/>
          <w:bCs/>
          <w:color w:val="1A4454"/>
          <w:sz w:val="24"/>
          <w:szCs w:val="24"/>
        </w:rPr>
      </w:pPr>
    </w:p>
    <w:p w14:paraId="3866FD65" w14:textId="374CC2A5" w:rsidR="00F60630" w:rsidRPr="009D689D" w:rsidRDefault="00CD0325" w:rsidP="00080C74">
      <w:pPr>
        <w:pStyle w:val="Heading1"/>
        <w:ind w:left="0" w:firstLine="0"/>
        <w:rPr>
          <w:rFonts w:ascii="Times New Roman" w:cs="Times New Roman"/>
          <w:bCs/>
          <w:color w:val="1A4454"/>
          <w:sz w:val="24"/>
          <w:szCs w:val="24"/>
        </w:rPr>
      </w:pPr>
      <w:r w:rsidRPr="009D689D">
        <w:rPr>
          <w:rFonts w:ascii="Times New Roman" w:cs="Times New Roman"/>
          <w:bCs/>
          <w:color w:val="1A4454"/>
          <w:sz w:val="24"/>
          <w:szCs w:val="24"/>
        </w:rPr>
        <w:t xml:space="preserve">Slide 23: </w:t>
      </w:r>
      <w:r w:rsidR="00851AEE" w:rsidRPr="009D689D">
        <w:rPr>
          <w:rFonts w:ascii="Times New Roman" w:cs="Times New Roman"/>
          <w:bCs/>
          <w:color w:val="1A4454"/>
          <w:sz w:val="24"/>
          <w:szCs w:val="24"/>
        </w:rPr>
        <w:t>Disclaimer</w:t>
      </w:r>
    </w:p>
    <w:p w14:paraId="6213EE5F"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The contents of this presentation were developed under grant number 90DP0009 (formerly H133A100026) from the National Institute on Disability, Independent Living, and Rehabilitation Research (</w:t>
      </w:r>
      <w:r w:rsidRPr="009D689D">
        <w:rPr>
          <w:rFonts w:ascii="Times New Roman" w:cs="Times New Roman"/>
          <w:sz w:val="24"/>
          <w:szCs w:val="24"/>
          <w:u w:val="single"/>
        </w:rPr>
        <w:t>NIDILRR</w:t>
      </w:r>
      <w:r w:rsidRPr="009D689D">
        <w:rPr>
          <w:rFonts w:ascii="Times New Roman" w:cs="Times New Roman"/>
          <w:sz w:val="24"/>
          <w:szCs w:val="24"/>
        </w:rPr>
        <w:t xml:space="preserve">). NIDILRR is a Center within the Administration for Community Living (ACL), Department of Health and Human Services (HHS). The contents of this website do not necessarily represent the policy of NIDILRR, ACL, HHS, and you should not assume endorsement by the Federal Government. </w:t>
      </w:r>
    </w:p>
    <w:p w14:paraId="31AC94D2" w14:textId="77777777" w:rsidR="00F60630" w:rsidRPr="009D689D" w:rsidRDefault="00851AEE" w:rsidP="00080C74">
      <w:pPr>
        <w:pStyle w:val="Heading1"/>
        <w:ind w:left="0" w:firstLine="0"/>
        <w:rPr>
          <w:rFonts w:ascii="Times New Roman" w:cs="Times New Roman"/>
          <w:color w:val="1A4454"/>
          <w:sz w:val="24"/>
          <w:szCs w:val="24"/>
        </w:rPr>
      </w:pPr>
      <w:r w:rsidRPr="009D689D">
        <w:rPr>
          <w:rFonts w:ascii="Times New Roman" w:cs="Times New Roman"/>
          <w:color w:val="1A4454"/>
          <w:sz w:val="24"/>
          <w:szCs w:val="24"/>
        </w:rPr>
        <w:t>Contact Information</w:t>
      </w:r>
    </w:p>
    <w:p w14:paraId="16D414FA" w14:textId="77777777" w:rsidR="00CD0325" w:rsidRPr="009D689D" w:rsidRDefault="00CD0325" w:rsidP="00080C74">
      <w:pPr>
        <w:pStyle w:val="Heading2"/>
        <w:ind w:left="0" w:firstLine="0"/>
        <w:rPr>
          <w:rFonts w:ascii="Times New Roman" w:cs="Times New Roman"/>
          <w:sz w:val="24"/>
          <w:szCs w:val="24"/>
        </w:rPr>
      </w:pPr>
    </w:p>
    <w:p w14:paraId="613576E9" w14:textId="60DBE1F3" w:rsidR="00CD0325" w:rsidRPr="009D689D" w:rsidRDefault="00CD0325" w:rsidP="00080C74">
      <w:pPr>
        <w:pStyle w:val="Heading2"/>
        <w:ind w:left="0" w:firstLine="0"/>
        <w:rPr>
          <w:rFonts w:ascii="Times New Roman" w:cs="Times New Roman"/>
          <w:sz w:val="24"/>
          <w:szCs w:val="24"/>
        </w:rPr>
      </w:pPr>
      <w:r w:rsidRPr="009D689D">
        <w:rPr>
          <w:rFonts w:ascii="Times New Roman" w:cs="Times New Roman"/>
          <w:sz w:val="24"/>
          <w:szCs w:val="24"/>
        </w:rPr>
        <w:t xml:space="preserve">Slide 24: </w:t>
      </w:r>
      <w:r w:rsidR="00D00A93">
        <w:rPr>
          <w:rFonts w:ascii="Times New Roman" w:cs="Times New Roman"/>
          <w:sz w:val="24"/>
          <w:szCs w:val="24"/>
        </w:rPr>
        <w:t>Contact Information</w:t>
      </w:r>
      <w:bookmarkStart w:id="0" w:name="_GoBack"/>
      <w:bookmarkEnd w:id="0"/>
    </w:p>
    <w:p w14:paraId="44D5FBC1" w14:textId="5B1FBC68"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Kathleen M. Murphy, PhD</w:t>
      </w:r>
    </w:p>
    <w:p w14:paraId="6027EF2E"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Senior Researcher</w:t>
      </w:r>
    </w:p>
    <w:p w14:paraId="2FEA2ADF" w14:textId="6600B90A"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u w:val="single"/>
        </w:rPr>
        <w:t>KmMurphy@air.org</w:t>
      </w:r>
    </w:p>
    <w:p w14:paraId="457B84C1"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SEDL/AIR</w:t>
      </w:r>
    </w:p>
    <w:p w14:paraId="2EA0AE7D"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4700 Mueller Boulevard</w:t>
      </w:r>
    </w:p>
    <w:p w14:paraId="6552CB19"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Austin, TX 78723-3081</w:t>
      </w:r>
    </w:p>
    <w:p w14:paraId="3446682E" w14:textId="77777777" w:rsidR="00F60630"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512-476-6861</w:t>
      </w:r>
    </w:p>
    <w:p w14:paraId="0C178E59" w14:textId="77777777" w:rsidR="00851AEE" w:rsidRPr="009D689D" w:rsidRDefault="00851AEE" w:rsidP="00080C74">
      <w:pPr>
        <w:pStyle w:val="Heading2"/>
        <w:ind w:left="0" w:firstLine="0"/>
        <w:rPr>
          <w:rFonts w:ascii="Times New Roman" w:cs="Times New Roman"/>
          <w:sz w:val="24"/>
          <w:szCs w:val="24"/>
        </w:rPr>
      </w:pPr>
      <w:r w:rsidRPr="009D689D">
        <w:rPr>
          <w:rFonts w:ascii="Times New Roman" w:cs="Times New Roman"/>
          <w:sz w:val="24"/>
          <w:szCs w:val="24"/>
        </w:rPr>
        <w:t>TTY: 512-391-6578</w:t>
      </w:r>
    </w:p>
    <w:sectPr w:rsidR="00851AEE" w:rsidRPr="009D68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MingLiU">
    <w:altName w:val="細明體"/>
    <w:charset w:val="88"/>
    <w:family w:val="auto"/>
    <w:pitch w:val="variable"/>
    <w:sig w:usb0="A00002FF" w:usb1="28CFFCFA" w:usb2="00000016" w:usb3="00000000" w:csb0="00100001"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D0210E"/>
    <w:lvl w:ilvl="0">
      <w:numFmt w:val="bullet"/>
      <w:lvlText w:val="*"/>
      <w:lvlJc w:val="left"/>
    </w:lvl>
  </w:abstractNum>
  <w:abstractNum w:abstractNumId="1">
    <w:nsid w:val="010415FB"/>
    <w:multiLevelType w:val="hybridMultilevel"/>
    <w:tmpl w:val="D7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4244F"/>
    <w:multiLevelType w:val="hybridMultilevel"/>
    <w:tmpl w:val="EC2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E4424"/>
    <w:multiLevelType w:val="hybridMultilevel"/>
    <w:tmpl w:val="BB0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E10FE"/>
    <w:multiLevelType w:val="hybridMultilevel"/>
    <w:tmpl w:val="317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D76AB"/>
    <w:multiLevelType w:val="hybridMultilevel"/>
    <w:tmpl w:val="8B0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F4BF8"/>
    <w:multiLevelType w:val="hybridMultilevel"/>
    <w:tmpl w:val="5B92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95A6A"/>
    <w:multiLevelType w:val="hybridMultilevel"/>
    <w:tmpl w:val="0A5244A4"/>
    <w:lvl w:ilvl="0" w:tplc="04090001">
      <w:start w:val="1"/>
      <w:numFmt w:val="bullet"/>
      <w:lvlText w:val=""/>
      <w:lvlJc w:val="left"/>
      <w:pPr>
        <w:ind w:left="720" w:hanging="360"/>
      </w:pPr>
      <w:rPr>
        <w:rFonts w:ascii="Symbol" w:hAnsi="Symbol" w:hint="default"/>
      </w:rPr>
    </w:lvl>
    <w:lvl w:ilvl="1" w:tplc="51D0210E">
      <w:numFmt w:val="bullet"/>
      <w:lvlText w:val="–"/>
      <w:lvlJc w:val="left"/>
      <w:pPr>
        <w:ind w:left="1440" w:hanging="360"/>
      </w:pPr>
      <w:rPr>
        <w:rFonts w:ascii="Times" w:hAnsi="Times" w:cs="Times"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72275"/>
    <w:multiLevelType w:val="hybridMultilevel"/>
    <w:tmpl w:val="1A8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025C8"/>
    <w:multiLevelType w:val="hybridMultilevel"/>
    <w:tmpl w:val="2F58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66C3C"/>
    <w:multiLevelType w:val="hybridMultilevel"/>
    <w:tmpl w:val="053C1158"/>
    <w:lvl w:ilvl="0" w:tplc="04090001">
      <w:start w:val="1"/>
      <w:numFmt w:val="bullet"/>
      <w:lvlText w:val=""/>
      <w:lvlJc w:val="left"/>
      <w:pPr>
        <w:ind w:left="720" w:hanging="360"/>
      </w:pPr>
      <w:rPr>
        <w:rFonts w:ascii="Symbol" w:hAnsi="Symbol" w:hint="default"/>
      </w:rPr>
    </w:lvl>
    <w:lvl w:ilvl="1" w:tplc="51D0210E">
      <w:numFmt w:val="bullet"/>
      <w:lvlText w:val="–"/>
      <w:lvlJc w:val="left"/>
      <w:pPr>
        <w:ind w:left="1440" w:hanging="360"/>
      </w:pPr>
      <w:rPr>
        <w:rFonts w:ascii="Times" w:hAnsi="Times" w:cs="Times"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D5D9E"/>
    <w:multiLevelType w:val="hybridMultilevel"/>
    <w:tmpl w:val="CF0A735A"/>
    <w:lvl w:ilvl="0" w:tplc="04090001">
      <w:start w:val="1"/>
      <w:numFmt w:val="bullet"/>
      <w:lvlText w:val=""/>
      <w:lvlJc w:val="left"/>
      <w:pPr>
        <w:ind w:left="720" w:hanging="360"/>
      </w:pPr>
      <w:rPr>
        <w:rFonts w:ascii="Symbol" w:hAnsi="Symbol" w:hint="default"/>
      </w:rPr>
    </w:lvl>
    <w:lvl w:ilvl="1" w:tplc="51D0210E">
      <w:numFmt w:val="bullet"/>
      <w:lvlText w:val="–"/>
      <w:lvlJc w:val="left"/>
      <w:pPr>
        <w:ind w:left="1440" w:hanging="360"/>
      </w:pPr>
      <w:rPr>
        <w:rFonts w:ascii="Times" w:hAnsi="Times" w:cs="Times"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51C39"/>
    <w:multiLevelType w:val="hybridMultilevel"/>
    <w:tmpl w:val="E58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225C8"/>
    <w:multiLevelType w:val="hybridMultilevel"/>
    <w:tmpl w:val="5CE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F4EC7"/>
    <w:multiLevelType w:val="hybridMultilevel"/>
    <w:tmpl w:val="D2C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F5510"/>
    <w:multiLevelType w:val="hybridMultilevel"/>
    <w:tmpl w:val="0188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F5897"/>
    <w:multiLevelType w:val="hybridMultilevel"/>
    <w:tmpl w:val="BEB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E6853"/>
    <w:multiLevelType w:val="hybridMultilevel"/>
    <w:tmpl w:val="EC9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62645"/>
    <w:multiLevelType w:val="hybridMultilevel"/>
    <w:tmpl w:val="D64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w:hAnsi="Times" w:cs="Times"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Times" w:hAnsi="Times" w:cs="Times" w:hint="default"/>
          <w:sz w:val="48"/>
        </w:rPr>
      </w:lvl>
    </w:lvlOverride>
  </w:num>
  <w:num w:numId="4">
    <w:abstractNumId w:val="0"/>
    <w:lvlOverride w:ilvl="0">
      <w:lvl w:ilvl="0">
        <w:numFmt w:val="bullet"/>
        <w:lvlText w:val="–"/>
        <w:legacy w:legacy="1" w:legacySpace="0" w:legacyIndent="0"/>
        <w:lvlJc w:val="left"/>
        <w:rPr>
          <w:rFonts w:ascii="Times" w:hAnsi="Times" w:cs="Times"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5"/>
  </w:num>
  <w:num w:numId="7">
    <w:abstractNumId w:val="8"/>
  </w:num>
  <w:num w:numId="8">
    <w:abstractNumId w:val="15"/>
  </w:num>
  <w:num w:numId="9">
    <w:abstractNumId w:val="18"/>
  </w:num>
  <w:num w:numId="10">
    <w:abstractNumId w:val="17"/>
  </w:num>
  <w:num w:numId="11">
    <w:abstractNumId w:val="4"/>
  </w:num>
  <w:num w:numId="12">
    <w:abstractNumId w:val="3"/>
  </w:num>
  <w:num w:numId="13">
    <w:abstractNumId w:val="13"/>
  </w:num>
  <w:num w:numId="14">
    <w:abstractNumId w:val="11"/>
  </w:num>
  <w:num w:numId="15">
    <w:abstractNumId w:val="1"/>
  </w:num>
  <w:num w:numId="16">
    <w:abstractNumId w:val="14"/>
  </w:num>
  <w:num w:numId="17">
    <w:abstractNumId w:val="2"/>
  </w:num>
  <w:num w:numId="18">
    <w:abstractNumId w:val="10"/>
  </w:num>
  <w:num w:numId="19">
    <w:abstractNumId w:val="7"/>
  </w:num>
  <w:num w:numId="20">
    <w:abstractNumId w:val="12"/>
  </w:num>
  <w:num w:numId="21">
    <w:abstractNumId w:val="16"/>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4C"/>
    <w:rsid w:val="00017C02"/>
    <w:rsid w:val="00071BA4"/>
    <w:rsid w:val="00080C74"/>
    <w:rsid w:val="00092609"/>
    <w:rsid w:val="000F193D"/>
    <w:rsid w:val="0014626D"/>
    <w:rsid w:val="0014770B"/>
    <w:rsid w:val="00162B7D"/>
    <w:rsid w:val="00187A66"/>
    <w:rsid w:val="002A0CEB"/>
    <w:rsid w:val="002A6972"/>
    <w:rsid w:val="00304D06"/>
    <w:rsid w:val="00384666"/>
    <w:rsid w:val="003865EB"/>
    <w:rsid w:val="003C2A4C"/>
    <w:rsid w:val="0045768F"/>
    <w:rsid w:val="00477E81"/>
    <w:rsid w:val="00493177"/>
    <w:rsid w:val="00592F2A"/>
    <w:rsid w:val="00655A44"/>
    <w:rsid w:val="006D3C8A"/>
    <w:rsid w:val="00757F49"/>
    <w:rsid w:val="00787D38"/>
    <w:rsid w:val="00851AEE"/>
    <w:rsid w:val="008F502E"/>
    <w:rsid w:val="00903813"/>
    <w:rsid w:val="009457A5"/>
    <w:rsid w:val="00953A47"/>
    <w:rsid w:val="00956DC6"/>
    <w:rsid w:val="00964C9C"/>
    <w:rsid w:val="00970D3A"/>
    <w:rsid w:val="009B5660"/>
    <w:rsid w:val="009B78E0"/>
    <w:rsid w:val="009D689D"/>
    <w:rsid w:val="00A644C2"/>
    <w:rsid w:val="00A80429"/>
    <w:rsid w:val="00A91EF4"/>
    <w:rsid w:val="00AB4C77"/>
    <w:rsid w:val="00AC1A67"/>
    <w:rsid w:val="00B430DF"/>
    <w:rsid w:val="00B725E3"/>
    <w:rsid w:val="00B9617B"/>
    <w:rsid w:val="00C02215"/>
    <w:rsid w:val="00C23E19"/>
    <w:rsid w:val="00C72CEB"/>
    <w:rsid w:val="00CA11A5"/>
    <w:rsid w:val="00CD0325"/>
    <w:rsid w:val="00D00A93"/>
    <w:rsid w:val="00D80AD1"/>
    <w:rsid w:val="00E4117C"/>
    <w:rsid w:val="00E9170A"/>
    <w:rsid w:val="00EC5F8F"/>
    <w:rsid w:val="00EE0D11"/>
    <w:rsid w:val="00EE32D3"/>
    <w:rsid w:val="00EE4F82"/>
    <w:rsid w:val="00F17559"/>
    <w:rsid w:val="00F4428B"/>
    <w:rsid w:val="00F6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90E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color w:val="000000"/>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Arial" w:eastAsia="MS PGothic" w:hAnsi="Times New Roman" w:cs="MS PGothic"/>
      <w:color w:val="000000"/>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color w:val="000000"/>
      <w:sz w:val="48"/>
      <w:szCs w:val="4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color w:val="000000"/>
      <w:sz w:val="48"/>
      <w:szCs w:val="4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sz w:val="48"/>
      <w:szCs w:val="4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sz w:val="48"/>
      <w:szCs w:val="4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sz w:val="48"/>
      <w:szCs w:val="4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3865EB"/>
    <w:rPr>
      <w:color w:val="0563C1" w:themeColor="hyperlink"/>
      <w:u w:val="single"/>
    </w:rPr>
  </w:style>
  <w:style w:type="paragraph" w:styleId="ListParagraph">
    <w:name w:val="List Paragraph"/>
    <w:basedOn w:val="Normal"/>
    <w:uiPriority w:val="34"/>
    <w:qFormat/>
    <w:rsid w:val="00080C74"/>
    <w:pPr>
      <w:ind w:left="720"/>
      <w:contextualSpacing/>
    </w:pPr>
  </w:style>
  <w:style w:type="paragraph" w:styleId="NormalWeb">
    <w:name w:val="Normal (Web)"/>
    <w:basedOn w:val="Normal"/>
    <w:uiPriority w:val="99"/>
    <w:semiHidden/>
    <w:unhideWhenUsed/>
    <w:rsid w:val="00CA11A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color w:val="000000"/>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Arial" w:eastAsia="MS PGothic" w:hAnsi="Times New Roman" w:cs="MS PGothic"/>
      <w:color w:val="000000"/>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color w:val="000000"/>
      <w:sz w:val="48"/>
      <w:szCs w:val="4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color w:val="000000"/>
      <w:sz w:val="48"/>
      <w:szCs w:val="4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sz w:val="48"/>
      <w:szCs w:val="4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sz w:val="48"/>
      <w:szCs w:val="4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sz w:val="48"/>
      <w:szCs w:val="4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3865EB"/>
    <w:rPr>
      <w:color w:val="0563C1" w:themeColor="hyperlink"/>
      <w:u w:val="single"/>
    </w:rPr>
  </w:style>
  <w:style w:type="paragraph" w:styleId="ListParagraph">
    <w:name w:val="List Paragraph"/>
    <w:basedOn w:val="Normal"/>
    <w:uiPriority w:val="34"/>
    <w:qFormat/>
    <w:rsid w:val="00080C74"/>
    <w:pPr>
      <w:ind w:left="720"/>
      <w:contextualSpacing/>
    </w:pPr>
  </w:style>
  <w:style w:type="paragraph" w:styleId="NormalWeb">
    <w:name w:val="Normal (Web)"/>
    <w:basedOn w:val="Normal"/>
    <w:uiPriority w:val="99"/>
    <w:semiHidden/>
    <w:unhideWhenUsed/>
    <w:rsid w:val="00CA11A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406">
      <w:bodyDiv w:val="1"/>
      <w:marLeft w:val="0"/>
      <w:marRight w:val="0"/>
      <w:marTop w:val="0"/>
      <w:marBottom w:val="0"/>
      <w:divBdr>
        <w:top w:val="none" w:sz="0" w:space="0" w:color="auto"/>
        <w:left w:val="none" w:sz="0" w:space="0" w:color="auto"/>
        <w:bottom w:val="none" w:sz="0" w:space="0" w:color="auto"/>
        <w:right w:val="none" w:sz="0" w:space="0" w:color="auto"/>
      </w:divBdr>
    </w:div>
    <w:div w:id="526910265">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1023434786">
      <w:bodyDiv w:val="1"/>
      <w:marLeft w:val="0"/>
      <w:marRight w:val="0"/>
      <w:marTop w:val="0"/>
      <w:marBottom w:val="0"/>
      <w:divBdr>
        <w:top w:val="none" w:sz="0" w:space="0" w:color="auto"/>
        <w:left w:val="none" w:sz="0" w:space="0" w:color="auto"/>
        <w:bottom w:val="none" w:sz="0" w:space="0" w:color="auto"/>
        <w:right w:val="none" w:sz="0" w:space="0" w:color="auto"/>
      </w:divBdr>
    </w:div>
    <w:div w:id="1162043919">
      <w:bodyDiv w:val="1"/>
      <w:marLeft w:val="0"/>
      <w:marRight w:val="0"/>
      <w:marTop w:val="0"/>
      <w:marBottom w:val="0"/>
      <w:divBdr>
        <w:top w:val="none" w:sz="0" w:space="0" w:color="auto"/>
        <w:left w:val="none" w:sz="0" w:space="0" w:color="auto"/>
        <w:bottom w:val="none" w:sz="0" w:space="0" w:color="auto"/>
        <w:right w:val="none" w:sz="0" w:space="0" w:color="auto"/>
      </w:divBdr>
    </w:div>
    <w:div w:id="1255896418">
      <w:bodyDiv w:val="1"/>
      <w:marLeft w:val="0"/>
      <w:marRight w:val="0"/>
      <w:marTop w:val="0"/>
      <w:marBottom w:val="0"/>
      <w:divBdr>
        <w:top w:val="none" w:sz="0" w:space="0" w:color="auto"/>
        <w:left w:val="none" w:sz="0" w:space="0" w:color="auto"/>
        <w:bottom w:val="none" w:sz="0" w:space="0" w:color="auto"/>
        <w:right w:val="none" w:sz="0" w:space="0" w:color="auto"/>
      </w:divBdr>
    </w:div>
    <w:div w:id="1302424845">
      <w:bodyDiv w:val="1"/>
      <w:marLeft w:val="0"/>
      <w:marRight w:val="0"/>
      <w:marTop w:val="0"/>
      <w:marBottom w:val="0"/>
      <w:divBdr>
        <w:top w:val="none" w:sz="0" w:space="0" w:color="auto"/>
        <w:left w:val="none" w:sz="0" w:space="0" w:color="auto"/>
        <w:bottom w:val="none" w:sz="0" w:space="0" w:color="auto"/>
        <w:right w:val="none" w:sz="0" w:space="0" w:color="auto"/>
      </w:divBdr>
    </w:div>
    <w:div w:id="1423994740">
      <w:bodyDiv w:val="1"/>
      <w:marLeft w:val="0"/>
      <w:marRight w:val="0"/>
      <w:marTop w:val="0"/>
      <w:marBottom w:val="0"/>
      <w:divBdr>
        <w:top w:val="none" w:sz="0" w:space="0" w:color="auto"/>
        <w:left w:val="none" w:sz="0" w:space="0" w:color="auto"/>
        <w:bottom w:val="none" w:sz="0" w:space="0" w:color="auto"/>
        <w:right w:val="none" w:sz="0" w:space="0" w:color="auto"/>
      </w:divBdr>
    </w:div>
    <w:div w:id="1427770333">
      <w:bodyDiv w:val="1"/>
      <w:marLeft w:val="0"/>
      <w:marRight w:val="0"/>
      <w:marTop w:val="0"/>
      <w:marBottom w:val="0"/>
      <w:divBdr>
        <w:top w:val="none" w:sz="0" w:space="0" w:color="auto"/>
        <w:left w:val="none" w:sz="0" w:space="0" w:color="auto"/>
        <w:bottom w:val="none" w:sz="0" w:space="0" w:color="auto"/>
        <w:right w:val="none" w:sz="0" w:space="0" w:color="auto"/>
      </w:divBdr>
    </w:div>
    <w:div w:id="1693258698">
      <w:bodyDiv w:val="1"/>
      <w:marLeft w:val="0"/>
      <w:marRight w:val="0"/>
      <w:marTop w:val="0"/>
      <w:marBottom w:val="0"/>
      <w:divBdr>
        <w:top w:val="none" w:sz="0" w:space="0" w:color="auto"/>
        <w:left w:val="none" w:sz="0" w:space="0" w:color="auto"/>
        <w:bottom w:val="none" w:sz="0" w:space="0" w:color="auto"/>
        <w:right w:val="none" w:sz="0" w:space="0" w:color="auto"/>
      </w:divBdr>
    </w:div>
    <w:div w:id="1721975288">
      <w:bodyDiv w:val="1"/>
      <w:marLeft w:val="0"/>
      <w:marRight w:val="0"/>
      <w:marTop w:val="0"/>
      <w:marBottom w:val="0"/>
      <w:divBdr>
        <w:top w:val="none" w:sz="0" w:space="0" w:color="auto"/>
        <w:left w:val="none" w:sz="0" w:space="0" w:color="auto"/>
        <w:bottom w:val="none" w:sz="0" w:space="0" w:color="auto"/>
        <w:right w:val="none" w:sz="0" w:space="0" w:color="auto"/>
      </w:divBdr>
    </w:div>
    <w:div w:id="1728144869">
      <w:bodyDiv w:val="1"/>
      <w:marLeft w:val="0"/>
      <w:marRight w:val="0"/>
      <w:marTop w:val="0"/>
      <w:marBottom w:val="0"/>
      <w:divBdr>
        <w:top w:val="none" w:sz="0" w:space="0" w:color="auto"/>
        <w:left w:val="none" w:sz="0" w:space="0" w:color="auto"/>
        <w:bottom w:val="none" w:sz="0" w:space="0" w:color="auto"/>
        <w:right w:val="none" w:sz="0" w:space="0" w:color="auto"/>
      </w:divBdr>
    </w:div>
    <w:div w:id="1819418824">
      <w:bodyDiv w:val="1"/>
      <w:marLeft w:val="0"/>
      <w:marRight w:val="0"/>
      <w:marTop w:val="0"/>
      <w:marBottom w:val="0"/>
      <w:divBdr>
        <w:top w:val="none" w:sz="0" w:space="0" w:color="auto"/>
        <w:left w:val="none" w:sz="0" w:space="0" w:color="auto"/>
        <w:bottom w:val="none" w:sz="0" w:space="0" w:color="auto"/>
        <w:right w:val="none" w:sz="0" w:space="0" w:color="auto"/>
      </w:divBdr>
    </w:div>
    <w:div w:id="21152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mMurphy@air.org" TargetMode="External"/><Relationship Id="rId7" Type="http://schemas.openxmlformats.org/officeDocument/2006/relationships/hyperlink" Target="http://www.sedl.org" TargetMode="External"/><Relationship Id="rId8" Type="http://schemas.openxmlformats.org/officeDocument/2006/relationships/hyperlink" Target="mailto:KmMurphy@air.org" TargetMode="External"/><Relationship Id="rId9" Type="http://schemas.openxmlformats.org/officeDocument/2006/relationships/hyperlink" Target="http://www.sed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1705</Words>
  <Characters>9722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Gabriela</dc:creator>
  <cp:keywords/>
  <dc:description/>
  <cp:lastModifiedBy>Kathleen Murphy</cp:lastModifiedBy>
  <cp:revision>33</cp:revision>
  <dcterms:created xsi:type="dcterms:W3CDTF">2016-04-25T19:09:00Z</dcterms:created>
  <dcterms:modified xsi:type="dcterms:W3CDTF">2016-04-26T17:29:00Z</dcterms:modified>
</cp:coreProperties>
</file>