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2703" w14:textId="3F0BC41E" w:rsidR="00685838" w:rsidRDefault="00312974" w:rsidP="00A05E03">
      <w:pPr>
        <w:jc w:val="center"/>
        <w:rPr>
          <w:rFonts w:ascii="Arial" w:hAnsi="Arial" w:cs="Arial"/>
          <w:bCs/>
          <w:iCs/>
          <w:lang w:val="en-GB"/>
        </w:rPr>
      </w:pPr>
      <w:r>
        <w:rPr>
          <w:rFonts w:ascii="Arial" w:hAnsi="Arial" w:cs="Arial"/>
          <w:b/>
          <w:bCs/>
          <w:sz w:val="28"/>
          <w:szCs w:val="28"/>
          <w:lang w:val="en-GB"/>
        </w:rPr>
        <w:t xml:space="preserve">Webisode </w:t>
      </w:r>
      <w:r w:rsidR="00484404">
        <w:rPr>
          <w:rFonts w:ascii="Arial" w:hAnsi="Arial" w:cs="Arial"/>
          <w:b/>
          <w:bCs/>
          <w:sz w:val="28"/>
          <w:szCs w:val="28"/>
          <w:lang w:val="en-GB"/>
        </w:rPr>
        <w:t>7</w:t>
      </w:r>
      <w:r>
        <w:rPr>
          <w:rFonts w:ascii="Arial" w:hAnsi="Arial" w:cs="Arial"/>
          <w:b/>
          <w:bCs/>
          <w:sz w:val="28"/>
          <w:szCs w:val="28"/>
          <w:lang w:val="en-GB"/>
        </w:rPr>
        <w:t xml:space="preserve"> </w:t>
      </w:r>
      <w:r w:rsidR="00A05E03">
        <w:rPr>
          <w:rFonts w:ascii="Arial" w:hAnsi="Arial" w:cs="Arial"/>
          <w:b/>
          <w:bCs/>
          <w:sz w:val="28"/>
          <w:szCs w:val="28"/>
          <w:lang w:val="en-GB"/>
        </w:rPr>
        <w:t>–</w:t>
      </w:r>
      <w:r>
        <w:rPr>
          <w:rFonts w:ascii="Arial" w:hAnsi="Arial" w:cs="Arial"/>
          <w:b/>
          <w:bCs/>
          <w:sz w:val="28"/>
          <w:szCs w:val="28"/>
          <w:lang w:val="en-GB"/>
        </w:rPr>
        <w:t xml:space="preserve"> </w:t>
      </w:r>
      <w:r w:rsidR="00300ADB">
        <w:rPr>
          <w:rFonts w:ascii="Arial" w:hAnsi="Arial" w:cs="Arial"/>
          <w:b/>
          <w:bCs/>
          <w:sz w:val="28"/>
          <w:szCs w:val="28"/>
          <w:lang w:val="en-GB"/>
        </w:rPr>
        <w:t>Rapid reviews</w:t>
      </w:r>
      <w:r w:rsidR="00685838">
        <w:rPr>
          <w:rFonts w:ascii="Arial" w:hAnsi="Arial" w:cs="Arial"/>
          <w:bCs/>
          <w:iCs/>
          <w:lang w:val="en-GB"/>
        </w:rPr>
        <w:t xml:space="preserve"> </w:t>
      </w:r>
    </w:p>
    <w:p w14:paraId="23A3439E" w14:textId="6C74A2FD" w:rsidR="00CC703F" w:rsidRDefault="00A05E03" w:rsidP="00685838">
      <w:pPr>
        <w:jc w:val="center"/>
      </w:pPr>
      <w:r>
        <w:rPr>
          <w:rFonts w:ascii="Arial" w:hAnsi="Arial" w:cs="Arial"/>
          <w:bCs/>
          <w:iCs/>
          <w:lang w:val="en-GB"/>
        </w:rPr>
        <w:t>Presenter</w:t>
      </w:r>
      <w:r w:rsidR="00685838">
        <w:rPr>
          <w:rFonts w:ascii="Arial" w:hAnsi="Arial" w:cs="Arial"/>
          <w:bCs/>
          <w:iCs/>
          <w:lang w:val="en-GB"/>
        </w:rPr>
        <w:t xml:space="preserve">: </w:t>
      </w:r>
      <w:r w:rsidR="00300ADB">
        <w:rPr>
          <w:rFonts w:ascii="Arial" w:hAnsi="Arial" w:cs="Arial"/>
          <w:bCs/>
          <w:iCs/>
          <w:lang w:val="en-GB"/>
        </w:rPr>
        <w:t>Mark Newman</w:t>
      </w:r>
      <w:r w:rsidR="00685838">
        <w:rPr>
          <w:rFonts w:ascii="Arial" w:hAnsi="Arial" w:cs="Arial"/>
          <w:bCs/>
          <w:iCs/>
          <w:lang w:val="en-GB"/>
        </w:rPr>
        <w:t xml:space="preserve"> </w:t>
      </w:r>
      <w:r w:rsidR="00685838" w:rsidRPr="00517173">
        <w:rPr>
          <w:rFonts w:ascii="Arial" w:hAnsi="Arial" w:cs="Arial"/>
          <w:bCs/>
          <w:iCs/>
          <w:lang w:val="en-GB"/>
        </w:rPr>
        <w:t>(EPPI-Centre, UCL)</w:t>
      </w:r>
    </w:p>
    <w:p w14:paraId="3B98932F" w14:textId="77777777" w:rsidR="002467F6" w:rsidRDefault="002467F6" w:rsidP="00C70E6A">
      <w:pPr>
        <w:rPr>
          <w:rFonts w:ascii="Arial" w:hAnsi="Arial" w:cs="Arial"/>
          <w:b/>
        </w:rPr>
      </w:pPr>
    </w:p>
    <w:p w14:paraId="3BC3A267" w14:textId="22C9797B" w:rsidR="00E54A7C" w:rsidRPr="00DD0675" w:rsidRDefault="00685838" w:rsidP="00C70E6A">
      <w:pPr>
        <w:rPr>
          <w:rFonts w:ascii="Arial" w:hAnsi="Arial" w:cs="Arial"/>
          <w:bCs/>
        </w:rPr>
      </w:pPr>
      <w:r w:rsidRPr="00517173">
        <w:rPr>
          <w:rFonts w:ascii="Arial" w:hAnsi="Arial" w:cs="Arial"/>
          <w:bCs/>
        </w:rPr>
        <w:t>EPPI-Centre Evidence Tools, Products, and Projects</w:t>
      </w:r>
      <w:r>
        <w:rPr>
          <w:rFonts w:ascii="Arial" w:hAnsi="Arial" w:cs="Arial"/>
          <w:bCs/>
        </w:rPr>
        <w:t xml:space="preserve"> </w:t>
      </w:r>
      <w:r w:rsidRPr="00517173">
        <w:rPr>
          <w:rFonts w:ascii="Arial" w:hAnsi="Arial" w:cs="Arial"/>
          <w:bCs/>
          <w:iCs/>
          <w:lang w:val="en-GB"/>
        </w:rPr>
        <w:t>–</w:t>
      </w:r>
      <w:r>
        <w:rPr>
          <w:rFonts w:ascii="Arial" w:hAnsi="Arial" w:cs="Arial"/>
          <w:bCs/>
          <w:iCs/>
          <w:lang w:val="en-GB"/>
        </w:rPr>
        <w:t xml:space="preserve"> </w:t>
      </w:r>
      <w:r w:rsidRPr="00C70E6A">
        <w:rPr>
          <w:rFonts w:ascii="Arial" w:hAnsi="Arial" w:cs="Arial"/>
          <w:bCs/>
          <w:iCs/>
        </w:rPr>
        <w:t>A series of webisodes from the Evidence for Policy and Practice Information and Co-</w:t>
      </w:r>
      <w:proofErr w:type="spellStart"/>
      <w:r w:rsidRPr="00C70E6A">
        <w:rPr>
          <w:rFonts w:ascii="Arial" w:hAnsi="Arial" w:cs="Arial"/>
          <w:bCs/>
          <w:iCs/>
        </w:rPr>
        <w:t>ordinating</w:t>
      </w:r>
      <w:proofErr w:type="spellEnd"/>
      <w:r w:rsidRPr="00C70E6A">
        <w:rPr>
          <w:rFonts w:ascii="Arial" w:hAnsi="Arial" w:cs="Arial"/>
          <w:bCs/>
          <w:iCs/>
        </w:rPr>
        <w:t xml:space="preserve"> (EPPI) Centre.</w:t>
      </w:r>
      <w:r>
        <w:rPr>
          <w:rFonts w:ascii="Arial" w:hAnsi="Arial" w:cs="Arial"/>
          <w:bCs/>
        </w:rPr>
        <w:t xml:space="preserve"> </w:t>
      </w:r>
      <w:r w:rsidRPr="00C70E6A">
        <w:rPr>
          <w:rFonts w:ascii="Arial" w:hAnsi="Arial" w:cs="Arial"/>
          <w:bCs/>
        </w:rPr>
        <w:t>Hosted by AIR’s Center on Knowledge Translation for Disability and Rehabilitation Research (KTDRR)</w:t>
      </w:r>
      <w:r>
        <w:rPr>
          <w:rFonts w:ascii="Arial" w:hAnsi="Arial" w:cs="Arial"/>
          <w:bCs/>
        </w:rPr>
        <w:t>.</w:t>
      </w:r>
    </w:p>
    <w:p w14:paraId="67F62F26" w14:textId="77777777" w:rsidR="00CE5885" w:rsidRDefault="00CE5885" w:rsidP="00C70E6A">
      <w:pPr>
        <w:rPr>
          <w:rFonts w:ascii="Arial" w:hAnsi="Arial" w:cs="Arial"/>
          <w:b/>
        </w:rPr>
      </w:pPr>
    </w:p>
    <w:p w14:paraId="0BF96678" w14:textId="199B33A7" w:rsidR="00517173" w:rsidRDefault="00517173" w:rsidP="00C70E6A">
      <w:pPr>
        <w:rPr>
          <w:rFonts w:ascii="Arial" w:hAnsi="Arial" w:cs="Arial"/>
          <w:b/>
        </w:rPr>
      </w:pPr>
      <w:r>
        <w:rPr>
          <w:rFonts w:ascii="Arial" w:hAnsi="Arial" w:cs="Arial"/>
          <w:b/>
        </w:rPr>
        <w:t xml:space="preserve">Slide </w:t>
      </w:r>
      <w:r w:rsidR="001F746D">
        <w:rPr>
          <w:rFonts w:ascii="Arial" w:hAnsi="Arial" w:cs="Arial"/>
          <w:b/>
        </w:rPr>
        <w:t xml:space="preserve">1: </w:t>
      </w:r>
      <w:r w:rsidR="00C70E6A">
        <w:rPr>
          <w:rFonts w:ascii="Arial" w:hAnsi="Arial" w:cs="Arial"/>
          <w:b/>
        </w:rPr>
        <w:t xml:space="preserve">Cover slide </w:t>
      </w:r>
    </w:p>
    <w:p w14:paraId="66D56AC9" w14:textId="524A95B2" w:rsidR="00C70E6A" w:rsidRPr="00517173" w:rsidRDefault="00C70E6A" w:rsidP="00C70E6A">
      <w:pPr>
        <w:rPr>
          <w:rFonts w:ascii="Arial" w:hAnsi="Arial" w:cs="Arial"/>
          <w:bCs/>
        </w:rPr>
      </w:pPr>
      <w:r w:rsidRPr="00517173">
        <w:rPr>
          <w:rFonts w:ascii="Arial" w:hAnsi="Arial" w:cs="Arial"/>
          <w:bCs/>
        </w:rPr>
        <w:t xml:space="preserve">EPPI-Centre Evidence Tools, Products, and Projects. </w:t>
      </w:r>
      <w:r w:rsidRPr="00C70E6A">
        <w:rPr>
          <w:rFonts w:ascii="Arial" w:hAnsi="Arial" w:cs="Arial"/>
          <w:bCs/>
          <w:iCs/>
        </w:rPr>
        <w:t>A series of webisodes from the Evidence for Policy and Practice Information and Co-</w:t>
      </w:r>
      <w:proofErr w:type="spellStart"/>
      <w:r w:rsidRPr="00C70E6A">
        <w:rPr>
          <w:rFonts w:ascii="Arial" w:hAnsi="Arial" w:cs="Arial"/>
          <w:bCs/>
          <w:iCs/>
        </w:rPr>
        <w:t>ordinating</w:t>
      </w:r>
      <w:proofErr w:type="spellEnd"/>
      <w:r w:rsidRPr="00C70E6A">
        <w:rPr>
          <w:rFonts w:ascii="Arial" w:hAnsi="Arial" w:cs="Arial"/>
          <w:bCs/>
          <w:iCs/>
        </w:rPr>
        <w:t xml:space="preserve"> (EPPI) Centre.</w:t>
      </w:r>
    </w:p>
    <w:p w14:paraId="0F4672E7" w14:textId="072DFA0D" w:rsidR="00C70E6A" w:rsidRPr="00C70E6A" w:rsidRDefault="00C70E6A" w:rsidP="00C70E6A">
      <w:pPr>
        <w:rPr>
          <w:rFonts w:ascii="Arial" w:hAnsi="Arial" w:cs="Arial"/>
          <w:bCs/>
        </w:rPr>
      </w:pPr>
      <w:r w:rsidRPr="00C70E6A">
        <w:rPr>
          <w:rFonts w:ascii="Arial" w:hAnsi="Arial" w:cs="Arial"/>
          <w:bCs/>
        </w:rPr>
        <w:t>Hosted by AIR’s Center on Knowledge Translation for Disability and Rehabilitation Research (KTDRR)</w:t>
      </w:r>
      <w:r w:rsidR="00517173">
        <w:rPr>
          <w:rFonts w:ascii="Arial" w:hAnsi="Arial" w:cs="Arial"/>
          <w:bCs/>
        </w:rPr>
        <w:t>.</w:t>
      </w:r>
    </w:p>
    <w:p w14:paraId="4C8EAFC1" w14:textId="77777777" w:rsidR="00517173" w:rsidRDefault="00517173" w:rsidP="00517173">
      <w:pPr>
        <w:rPr>
          <w:rFonts w:ascii="Arial" w:hAnsi="Arial" w:cs="Arial"/>
          <w:bCs/>
          <w:iCs/>
        </w:rPr>
      </w:pPr>
      <w:r w:rsidRPr="00517173">
        <w:rPr>
          <w:rFonts w:ascii="Arial" w:hAnsi="Arial" w:cs="Arial"/>
          <w:bCs/>
          <w:iCs/>
        </w:rPr>
        <w:t>Copyright © 2018 American Institutes for Research (AIR). All rights reserved.</w:t>
      </w:r>
      <w:r w:rsidRPr="00517173">
        <w:rPr>
          <w:rFonts w:ascii="Arial" w:hAnsi="Arial" w:cs="Arial"/>
          <w:bCs/>
        </w:rPr>
        <w:t xml:space="preserve"> </w:t>
      </w:r>
      <w:r w:rsidRPr="00517173">
        <w:rPr>
          <w:rFonts w:ascii="Arial" w:hAnsi="Arial" w:cs="Arial"/>
          <w:bCs/>
          <w:iCs/>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7" w:history="1">
        <w:r w:rsidRPr="00517173">
          <w:rPr>
            <w:rStyle w:val="Hyperlink"/>
            <w:rFonts w:ascii="Arial" w:hAnsi="Arial" w:cs="Arial"/>
            <w:bCs/>
            <w:iCs/>
          </w:rPr>
          <w:t>copyright_PS@air.org</w:t>
        </w:r>
      </w:hyperlink>
      <w:r w:rsidRPr="00517173">
        <w:rPr>
          <w:rFonts w:ascii="Arial" w:hAnsi="Arial" w:cs="Arial"/>
          <w:bCs/>
          <w:iCs/>
        </w:rPr>
        <w:t>. Users may need to secure additional permissions from copyright holders whose work AIR included after obtaining permission as noted to reproduce or adapt materials for this presentation.</w:t>
      </w:r>
    </w:p>
    <w:p w14:paraId="7BD8A5F0" w14:textId="2CD03587" w:rsidR="001F746D" w:rsidRPr="001F746D" w:rsidRDefault="001F746D" w:rsidP="001F746D">
      <w:pPr>
        <w:rPr>
          <w:rFonts w:ascii="Arial" w:hAnsi="Arial" w:cs="Arial"/>
        </w:rPr>
      </w:pPr>
      <w:r>
        <w:rPr>
          <w:rFonts w:ascii="Arial" w:hAnsi="Arial" w:cs="Arial"/>
          <w:b/>
        </w:rPr>
        <w:t xml:space="preserve">Cover slide template: </w:t>
      </w:r>
      <w:r w:rsidRPr="001F746D">
        <w:rPr>
          <w:rFonts w:ascii="Arial" w:hAnsi="Arial" w:cs="Arial"/>
        </w:rPr>
        <w:t>dark blue background with white text and gray text. Gray bar at bottom with AIR logo on the left (gray and blue column on left; letters in blue, AIR (R) on the right; words below in blue, American Institutes for Research (R)</w:t>
      </w:r>
      <w:r w:rsidR="009B3AFD">
        <w:rPr>
          <w:rFonts w:ascii="Arial" w:hAnsi="Arial" w:cs="Arial"/>
        </w:rPr>
        <w:t>)</w:t>
      </w:r>
      <w:r w:rsidRPr="001F746D">
        <w:rPr>
          <w:rFonts w:ascii="Arial" w:hAnsi="Arial" w:cs="Arial"/>
        </w:rPr>
        <w:t>.</w:t>
      </w:r>
      <w:r w:rsidR="00BD020D">
        <w:rPr>
          <w:rFonts w:ascii="Arial" w:hAnsi="Arial" w:cs="Arial"/>
        </w:rPr>
        <w:t xml:space="preserve"> To the left of AIR logo, EPPI-Centre logo: </w:t>
      </w:r>
      <w:r w:rsidR="00BD020D" w:rsidRPr="00943686">
        <w:rPr>
          <w:rFonts w:ascii="Arial" w:hAnsi="Arial" w:cs="Arial"/>
        </w:rPr>
        <w:t>A large blue script letter e to the left, with smaller black letters PPI to the right. Below PPI, in a smaller black box, is the word CENTRE in white text.</w:t>
      </w:r>
    </w:p>
    <w:p w14:paraId="6A7BA22A" w14:textId="77777777" w:rsidR="00CE5885" w:rsidRDefault="00CE5885" w:rsidP="00600637">
      <w:pPr>
        <w:rPr>
          <w:rFonts w:ascii="Arial" w:hAnsi="Arial" w:cs="Arial"/>
          <w:b/>
        </w:rPr>
      </w:pPr>
    </w:p>
    <w:p w14:paraId="5DCADBEF" w14:textId="3056185F" w:rsidR="00517173" w:rsidRPr="00DD0675" w:rsidRDefault="00517173" w:rsidP="00517173">
      <w:pPr>
        <w:rPr>
          <w:rFonts w:ascii="Arial" w:hAnsi="Arial" w:cs="Arial"/>
          <w:b/>
        </w:rPr>
      </w:pPr>
      <w:r>
        <w:rPr>
          <w:rFonts w:ascii="Arial" w:hAnsi="Arial" w:cs="Arial"/>
          <w:b/>
        </w:rPr>
        <w:t xml:space="preserve">Slide 2: </w:t>
      </w:r>
      <w:r w:rsidR="00300ADB">
        <w:rPr>
          <w:rFonts w:ascii="Arial" w:hAnsi="Arial" w:cs="Arial"/>
          <w:b/>
          <w:bCs/>
          <w:lang w:val="en-GB"/>
        </w:rPr>
        <w:t>Rapid Reviews</w:t>
      </w:r>
    </w:p>
    <w:p w14:paraId="033ADE9E" w14:textId="53245E46" w:rsidR="00517173" w:rsidRDefault="006B5957" w:rsidP="00517173">
      <w:pPr>
        <w:rPr>
          <w:rFonts w:ascii="Arial" w:hAnsi="Arial" w:cs="Arial"/>
          <w:bCs/>
          <w:iCs/>
          <w:lang w:val="en-GB"/>
        </w:rPr>
      </w:pPr>
      <w:r>
        <w:rPr>
          <w:rFonts w:ascii="Arial" w:hAnsi="Arial" w:cs="Arial"/>
          <w:bCs/>
          <w:iCs/>
          <w:lang w:val="en-GB"/>
        </w:rPr>
        <w:t>Febr</w:t>
      </w:r>
      <w:r w:rsidR="00C2651B">
        <w:rPr>
          <w:rFonts w:ascii="Arial" w:hAnsi="Arial" w:cs="Arial"/>
          <w:bCs/>
          <w:iCs/>
          <w:lang w:val="en-GB"/>
        </w:rPr>
        <w:t>uary</w:t>
      </w:r>
      <w:r w:rsidR="00517173" w:rsidRPr="00517173">
        <w:rPr>
          <w:rFonts w:ascii="Arial" w:hAnsi="Arial" w:cs="Arial"/>
          <w:bCs/>
          <w:iCs/>
          <w:lang w:val="en-GB"/>
        </w:rPr>
        <w:t xml:space="preserve"> 201</w:t>
      </w:r>
      <w:r w:rsidR="00C2651B">
        <w:rPr>
          <w:rFonts w:ascii="Arial" w:hAnsi="Arial" w:cs="Arial"/>
          <w:bCs/>
          <w:iCs/>
          <w:lang w:val="en-GB"/>
        </w:rPr>
        <w:t>8</w:t>
      </w:r>
      <w:r w:rsidR="00517173">
        <w:rPr>
          <w:rFonts w:ascii="Arial" w:hAnsi="Arial" w:cs="Arial"/>
          <w:bCs/>
          <w:iCs/>
          <w:lang w:val="en-GB"/>
        </w:rPr>
        <w:t xml:space="preserve">. </w:t>
      </w:r>
      <w:r w:rsidR="00300ADB">
        <w:rPr>
          <w:rFonts w:ascii="Arial" w:hAnsi="Arial" w:cs="Arial"/>
          <w:bCs/>
          <w:iCs/>
          <w:lang w:val="en-GB"/>
        </w:rPr>
        <w:t>Mark Newman</w:t>
      </w:r>
      <w:r w:rsidR="00517173" w:rsidRPr="00517173">
        <w:rPr>
          <w:rFonts w:ascii="Arial" w:hAnsi="Arial" w:cs="Arial"/>
          <w:bCs/>
          <w:iCs/>
          <w:lang w:val="en-GB"/>
        </w:rPr>
        <w:t xml:space="preserve"> (EPPI-Centre, UCL)</w:t>
      </w:r>
      <w:r w:rsidR="00517173">
        <w:rPr>
          <w:rFonts w:ascii="Arial" w:hAnsi="Arial" w:cs="Arial"/>
          <w:bCs/>
          <w:iCs/>
          <w:lang w:val="en-GB"/>
        </w:rPr>
        <w:t xml:space="preserve">. </w:t>
      </w:r>
    </w:p>
    <w:p w14:paraId="273354E3" w14:textId="33A71818" w:rsidR="007C7682" w:rsidRPr="007C7682" w:rsidRDefault="00C40178" w:rsidP="007C7682">
      <w:pPr>
        <w:rPr>
          <w:rFonts w:ascii="Times New Roman" w:eastAsia="Times New Roman" w:hAnsi="Times New Roman" w:cs="Times New Roman"/>
        </w:rPr>
      </w:pPr>
      <w:r w:rsidRPr="00C40178">
        <w:rPr>
          <w:rFonts w:ascii="Arial" w:hAnsi="Arial" w:cs="Arial"/>
          <w:b/>
          <w:bCs/>
          <w:iCs/>
          <w:lang w:val="en-GB"/>
        </w:rPr>
        <w:t>Title s</w:t>
      </w:r>
      <w:r w:rsidR="00517173" w:rsidRPr="00C40178">
        <w:rPr>
          <w:rFonts w:ascii="Arial" w:hAnsi="Arial" w:cs="Arial"/>
          <w:b/>
          <w:bCs/>
          <w:iCs/>
          <w:lang w:val="en-GB"/>
        </w:rPr>
        <w:t>lide template:</w:t>
      </w:r>
      <w:r w:rsidR="00517173" w:rsidRPr="00943686">
        <w:rPr>
          <w:rFonts w:ascii="Arial" w:hAnsi="Arial" w:cs="Arial"/>
          <w:bCs/>
          <w:iCs/>
          <w:lang w:val="en-GB"/>
        </w:rPr>
        <w:t xml:space="preserve"> </w:t>
      </w:r>
      <w:r w:rsidR="007C7682" w:rsidRPr="007C7682">
        <w:rPr>
          <w:rFonts w:ascii="Arial" w:eastAsia="Times New Roman" w:hAnsi="Arial" w:cs="Arial"/>
          <w:color w:val="000000"/>
          <w:lang w:val="en-GB"/>
        </w:rPr>
        <w:t xml:space="preserve">Blue bar at top. On far left, Institute of Education. On the far right, UCL Logo: White image of Main Building with large white letters UCL to the right. In the </w:t>
      </w:r>
      <w:proofErr w:type="spellStart"/>
      <w:r w:rsidR="007C7682" w:rsidRPr="007C7682">
        <w:rPr>
          <w:rFonts w:ascii="Arial" w:eastAsia="Times New Roman" w:hAnsi="Arial" w:cs="Arial"/>
          <w:color w:val="000000"/>
          <w:lang w:val="en-GB"/>
        </w:rPr>
        <w:t>center</w:t>
      </w:r>
      <w:proofErr w:type="spellEnd"/>
      <w:r w:rsidR="007C7682" w:rsidRPr="007C7682">
        <w:rPr>
          <w:rFonts w:ascii="Arial" w:eastAsia="Times New Roman" w:hAnsi="Arial" w:cs="Arial"/>
          <w:color w:val="000000"/>
          <w:lang w:val="en-GB"/>
        </w:rPr>
        <w:t xml:space="preserve"> background, a photograph of London with title text superimposed over the image. White bar at the bottom: On far right, EPPI-Centre logo: </w:t>
      </w:r>
      <w:r w:rsidR="007C7682" w:rsidRPr="007C7682">
        <w:rPr>
          <w:rFonts w:ascii="Arial" w:eastAsia="Times New Roman" w:hAnsi="Arial" w:cs="Arial"/>
          <w:color w:val="000000"/>
        </w:rPr>
        <w:t>A large blue script letter E to the left, with smaller black letters PPI to the right. Below PPI, in a smaller black box, is the word CENTRE in white text.</w:t>
      </w:r>
    </w:p>
    <w:p w14:paraId="2CC1626C" w14:textId="77777777" w:rsidR="00A0371F" w:rsidRDefault="00A0371F" w:rsidP="00600637">
      <w:pPr>
        <w:rPr>
          <w:rFonts w:ascii="Arial" w:hAnsi="Arial" w:cs="Arial"/>
          <w:b/>
        </w:rPr>
      </w:pPr>
    </w:p>
    <w:p w14:paraId="68DDCE56" w14:textId="5F50A461" w:rsidR="00864D57" w:rsidRDefault="00864D57" w:rsidP="00600637">
      <w:pPr>
        <w:rPr>
          <w:rFonts w:ascii="Arial" w:hAnsi="Arial" w:cs="Arial"/>
          <w:b/>
          <w:lang w:val="en-GB"/>
        </w:rPr>
      </w:pPr>
      <w:r w:rsidRPr="00A47478">
        <w:rPr>
          <w:rFonts w:ascii="Arial" w:hAnsi="Arial" w:cs="Arial"/>
          <w:b/>
        </w:rPr>
        <w:t>Slide 3:</w:t>
      </w:r>
      <w:r w:rsidR="00C40178" w:rsidRPr="00A47478">
        <w:rPr>
          <w:rFonts w:ascii="Arial" w:hAnsi="Arial" w:cs="Arial"/>
          <w:b/>
        </w:rPr>
        <w:t xml:space="preserve"> </w:t>
      </w:r>
      <w:r w:rsidR="00A264DB">
        <w:rPr>
          <w:rFonts w:ascii="Arial" w:hAnsi="Arial" w:cs="Arial"/>
          <w:b/>
          <w:lang w:val="en-GB"/>
        </w:rPr>
        <w:t>Systematic reviews</w:t>
      </w:r>
    </w:p>
    <w:p w14:paraId="6DD74C57" w14:textId="71F1BC37" w:rsidR="00A264DB" w:rsidRPr="00A264DB" w:rsidRDefault="00A264DB" w:rsidP="00A264DB">
      <w:pPr>
        <w:rPr>
          <w:rFonts w:ascii="Arial" w:hAnsi="Arial" w:cs="Arial"/>
        </w:rPr>
      </w:pPr>
      <w:r w:rsidRPr="00A264DB">
        <w:rPr>
          <w:rFonts w:ascii="Arial" w:hAnsi="Arial" w:cs="Arial"/>
        </w:rPr>
        <w:t>•</w:t>
      </w:r>
      <w:r w:rsidR="00DD0675">
        <w:rPr>
          <w:rFonts w:ascii="Arial" w:hAnsi="Arial" w:cs="Arial"/>
        </w:rPr>
        <w:t xml:space="preserve"> </w:t>
      </w:r>
      <w:r w:rsidRPr="00A264DB">
        <w:rPr>
          <w:rFonts w:ascii="Arial" w:hAnsi="Arial" w:cs="Arial"/>
        </w:rPr>
        <w:t>Research reviews are a ’meta’ level of research that aim to answer a research question by synthesizing the findings of existing research studies</w:t>
      </w:r>
    </w:p>
    <w:p w14:paraId="77988476" w14:textId="61CE83AA" w:rsidR="00A264DB" w:rsidRPr="00A264DB" w:rsidRDefault="00A264DB" w:rsidP="00A264DB">
      <w:pPr>
        <w:rPr>
          <w:rFonts w:ascii="Arial" w:hAnsi="Arial" w:cs="Arial"/>
        </w:rPr>
      </w:pPr>
      <w:r w:rsidRPr="00A264DB">
        <w:rPr>
          <w:rFonts w:ascii="Arial" w:hAnsi="Arial" w:cs="Arial"/>
        </w:rPr>
        <w:t>•</w:t>
      </w:r>
      <w:r w:rsidR="00DD0675">
        <w:rPr>
          <w:rFonts w:ascii="Arial" w:hAnsi="Arial" w:cs="Arial"/>
        </w:rPr>
        <w:t xml:space="preserve"> </w:t>
      </w:r>
      <w:r w:rsidRPr="00A264DB">
        <w:rPr>
          <w:rFonts w:ascii="Arial" w:hAnsi="Arial" w:cs="Arial"/>
        </w:rPr>
        <w:t>Systematic Reviews are a form of research review that is systematic and explicit about methods</w:t>
      </w:r>
    </w:p>
    <w:p w14:paraId="311EA192" w14:textId="4A9DE9FF" w:rsidR="00A264DB" w:rsidRPr="00A264DB" w:rsidRDefault="00A264DB" w:rsidP="00A264DB">
      <w:pPr>
        <w:rPr>
          <w:rFonts w:ascii="Arial" w:hAnsi="Arial" w:cs="Arial"/>
        </w:rPr>
      </w:pPr>
      <w:r w:rsidRPr="00A264DB">
        <w:rPr>
          <w:rFonts w:ascii="Arial" w:hAnsi="Arial" w:cs="Arial"/>
        </w:rPr>
        <w:t>•</w:t>
      </w:r>
      <w:r w:rsidR="00DD0675">
        <w:rPr>
          <w:rFonts w:ascii="Arial" w:hAnsi="Arial" w:cs="Arial"/>
        </w:rPr>
        <w:t xml:space="preserve"> </w:t>
      </w:r>
      <w:r w:rsidRPr="00A264DB">
        <w:rPr>
          <w:rFonts w:ascii="Arial" w:hAnsi="Arial" w:cs="Arial"/>
        </w:rPr>
        <w:t>Systematic Reviews can address different research questions and use different methods</w:t>
      </w:r>
    </w:p>
    <w:p w14:paraId="1FA06B1D" w14:textId="573DA9A8" w:rsidR="00F12AED" w:rsidRPr="00A264DB" w:rsidRDefault="00A264DB" w:rsidP="00600637">
      <w:pPr>
        <w:rPr>
          <w:rFonts w:ascii="Arial" w:hAnsi="Arial" w:cs="Arial"/>
        </w:rPr>
      </w:pPr>
      <w:r w:rsidRPr="00A264DB">
        <w:rPr>
          <w:rFonts w:ascii="Arial" w:hAnsi="Arial" w:cs="Arial"/>
          <w:i/>
          <w:iCs/>
        </w:rPr>
        <w:t xml:space="preserve">(See Webisode on </w:t>
      </w:r>
      <w:r w:rsidR="00DD0675">
        <w:rPr>
          <w:rFonts w:ascii="Arial" w:hAnsi="Arial" w:cs="Arial"/>
          <w:i/>
          <w:iCs/>
        </w:rPr>
        <w:t>D</w:t>
      </w:r>
      <w:r w:rsidRPr="00A264DB">
        <w:rPr>
          <w:rFonts w:ascii="Arial" w:hAnsi="Arial" w:cs="Arial"/>
          <w:i/>
          <w:iCs/>
        </w:rPr>
        <w:t xml:space="preserve">imensions of </w:t>
      </w:r>
      <w:r w:rsidR="00DD0675">
        <w:rPr>
          <w:rFonts w:ascii="Arial" w:hAnsi="Arial" w:cs="Arial"/>
          <w:i/>
          <w:iCs/>
        </w:rPr>
        <w:t>D</w:t>
      </w:r>
      <w:r w:rsidRPr="00A264DB">
        <w:rPr>
          <w:rFonts w:ascii="Arial" w:hAnsi="Arial" w:cs="Arial"/>
          <w:i/>
          <w:iCs/>
        </w:rPr>
        <w:t>ifference in reviews)</w:t>
      </w:r>
    </w:p>
    <w:p w14:paraId="4101D59A" w14:textId="77777777" w:rsidR="00C86AF0" w:rsidRDefault="00C86AF0" w:rsidP="00600637">
      <w:pPr>
        <w:rPr>
          <w:rFonts w:ascii="Arial" w:hAnsi="Arial" w:cs="Arial"/>
          <w:b/>
        </w:rPr>
      </w:pPr>
    </w:p>
    <w:p w14:paraId="0A0C5E4A" w14:textId="77777777" w:rsidR="00CE5885" w:rsidRDefault="00CE5885" w:rsidP="00600637">
      <w:pPr>
        <w:rPr>
          <w:rFonts w:ascii="Arial" w:hAnsi="Arial" w:cs="Arial"/>
          <w:b/>
        </w:rPr>
      </w:pPr>
    </w:p>
    <w:p w14:paraId="5EDA21FC" w14:textId="3DF17867" w:rsidR="005E17A1" w:rsidRDefault="00864D57" w:rsidP="00600637">
      <w:pPr>
        <w:rPr>
          <w:rFonts w:ascii="Arial" w:hAnsi="Arial" w:cs="Arial"/>
          <w:b/>
        </w:rPr>
      </w:pPr>
      <w:r w:rsidRPr="00A47478">
        <w:rPr>
          <w:rFonts w:ascii="Arial" w:hAnsi="Arial" w:cs="Arial"/>
          <w:b/>
        </w:rPr>
        <w:lastRenderedPageBreak/>
        <w:t>Slide 4:</w:t>
      </w:r>
      <w:r w:rsidR="00170A85" w:rsidRPr="00A47478">
        <w:rPr>
          <w:rFonts w:ascii="Arial" w:hAnsi="Arial" w:cs="Arial"/>
          <w:b/>
        </w:rPr>
        <w:t xml:space="preserve"> </w:t>
      </w:r>
      <w:r w:rsidR="00A264DB">
        <w:rPr>
          <w:rFonts w:ascii="Arial" w:hAnsi="Arial" w:cs="Arial"/>
          <w:b/>
        </w:rPr>
        <w:t>Variation in ‘work done’* by a review</w:t>
      </w:r>
      <w:r w:rsidR="005E17A1">
        <w:rPr>
          <w:rFonts w:ascii="Arial" w:hAnsi="Arial" w:cs="Arial"/>
          <w:b/>
        </w:rPr>
        <w:t xml:space="preserve"> </w:t>
      </w:r>
    </w:p>
    <w:p w14:paraId="3CEE01D8" w14:textId="73A26965" w:rsidR="00935337" w:rsidRPr="00935337" w:rsidRDefault="00935337" w:rsidP="00935337">
      <w:pPr>
        <w:rPr>
          <w:rFonts w:ascii="Arial" w:hAnsi="Arial" w:cs="Arial"/>
          <w:color w:val="000000" w:themeColor="text1"/>
        </w:rPr>
      </w:pPr>
      <w:r w:rsidRPr="00935337">
        <w:rPr>
          <w:rFonts w:ascii="Arial" w:hAnsi="Arial" w:cs="Arial"/>
          <w:color w:val="000000" w:themeColor="text1"/>
        </w:rPr>
        <w:t>•</w:t>
      </w:r>
      <w:r w:rsidR="00DD0675">
        <w:rPr>
          <w:rFonts w:ascii="Arial" w:hAnsi="Arial" w:cs="Arial"/>
          <w:color w:val="000000" w:themeColor="text1"/>
        </w:rPr>
        <w:t xml:space="preserve"> </w:t>
      </w:r>
      <w:r w:rsidRPr="00935337">
        <w:rPr>
          <w:rFonts w:ascii="Arial" w:hAnsi="Arial" w:cs="Arial"/>
          <w:color w:val="000000" w:themeColor="text1"/>
        </w:rPr>
        <w:t xml:space="preserve">Whatever the type of research </w:t>
      </w:r>
      <w:proofErr w:type="gramStart"/>
      <w:r w:rsidRPr="00935337">
        <w:rPr>
          <w:rFonts w:ascii="Arial" w:hAnsi="Arial" w:cs="Arial"/>
          <w:color w:val="000000" w:themeColor="text1"/>
        </w:rPr>
        <w:t>question</w:t>
      </w:r>
      <w:proofErr w:type="gramEnd"/>
      <w:r w:rsidRPr="00935337">
        <w:rPr>
          <w:rFonts w:ascii="Arial" w:hAnsi="Arial" w:cs="Arial"/>
          <w:color w:val="000000" w:themeColor="text1"/>
        </w:rPr>
        <w:t xml:space="preserve"> the focus and complexity of the question may vary.  </w:t>
      </w:r>
    </w:p>
    <w:p w14:paraId="11C99742" w14:textId="38B23FF4" w:rsidR="00935337" w:rsidRPr="00935337" w:rsidRDefault="00935337" w:rsidP="00935337">
      <w:pPr>
        <w:rPr>
          <w:rFonts w:ascii="Arial" w:hAnsi="Arial" w:cs="Arial"/>
          <w:color w:val="000000" w:themeColor="text1"/>
        </w:rPr>
      </w:pPr>
      <w:r w:rsidRPr="00935337">
        <w:rPr>
          <w:rFonts w:ascii="Arial" w:hAnsi="Arial" w:cs="Arial"/>
          <w:color w:val="000000" w:themeColor="text1"/>
        </w:rPr>
        <w:t>•</w:t>
      </w:r>
      <w:r w:rsidR="00DD0675">
        <w:rPr>
          <w:rFonts w:ascii="Arial" w:hAnsi="Arial" w:cs="Arial"/>
          <w:color w:val="000000" w:themeColor="text1"/>
        </w:rPr>
        <w:t xml:space="preserve"> </w:t>
      </w:r>
      <w:r w:rsidRPr="00935337">
        <w:rPr>
          <w:rFonts w:ascii="Arial" w:hAnsi="Arial" w:cs="Arial"/>
          <w:color w:val="000000" w:themeColor="text1"/>
        </w:rPr>
        <w:t xml:space="preserve">The complexity of a question has a number of dimensions including: </w:t>
      </w:r>
    </w:p>
    <w:p w14:paraId="7DBC8601" w14:textId="77777777" w:rsidR="00935337" w:rsidRPr="00935337" w:rsidRDefault="00935337" w:rsidP="00935337">
      <w:pPr>
        <w:rPr>
          <w:rFonts w:ascii="Arial" w:hAnsi="Arial" w:cs="Arial"/>
          <w:color w:val="000000" w:themeColor="text1"/>
        </w:rPr>
      </w:pPr>
      <w:r w:rsidRPr="00935337">
        <w:rPr>
          <w:rFonts w:ascii="Arial" w:hAnsi="Arial" w:cs="Arial"/>
          <w:color w:val="000000" w:themeColor="text1"/>
        </w:rPr>
        <w:t>–The population or participants</w:t>
      </w:r>
    </w:p>
    <w:p w14:paraId="446DDC0F" w14:textId="77777777" w:rsidR="00935337" w:rsidRPr="00935337" w:rsidRDefault="00935337" w:rsidP="00935337">
      <w:pPr>
        <w:rPr>
          <w:rFonts w:ascii="Arial" w:hAnsi="Arial" w:cs="Arial"/>
          <w:color w:val="000000" w:themeColor="text1"/>
        </w:rPr>
      </w:pPr>
      <w:r w:rsidRPr="00935337">
        <w:rPr>
          <w:rFonts w:ascii="Arial" w:hAnsi="Arial" w:cs="Arial"/>
          <w:color w:val="000000" w:themeColor="text1"/>
        </w:rPr>
        <w:t xml:space="preserve">–The contexts </w:t>
      </w:r>
    </w:p>
    <w:p w14:paraId="45A0037D" w14:textId="77777777" w:rsidR="00935337" w:rsidRPr="00935337" w:rsidRDefault="00935337" w:rsidP="00935337">
      <w:pPr>
        <w:rPr>
          <w:rFonts w:ascii="Arial" w:hAnsi="Arial" w:cs="Arial"/>
          <w:color w:val="000000" w:themeColor="text1"/>
        </w:rPr>
      </w:pPr>
      <w:r w:rsidRPr="00935337">
        <w:rPr>
          <w:rFonts w:ascii="Arial" w:hAnsi="Arial" w:cs="Arial"/>
          <w:color w:val="000000" w:themeColor="text1"/>
        </w:rPr>
        <w:t xml:space="preserve">–The complexity of the phenomena either conceptually or practically  </w:t>
      </w:r>
    </w:p>
    <w:p w14:paraId="26B2BCA9" w14:textId="4EBF76BE" w:rsidR="00935337" w:rsidRPr="00935337" w:rsidRDefault="00935337" w:rsidP="00935337">
      <w:pPr>
        <w:rPr>
          <w:rFonts w:ascii="Arial" w:hAnsi="Arial" w:cs="Arial"/>
          <w:color w:val="000000" w:themeColor="text1"/>
        </w:rPr>
      </w:pPr>
      <w:r w:rsidRPr="00935337">
        <w:rPr>
          <w:rFonts w:ascii="Arial" w:hAnsi="Arial" w:cs="Arial"/>
          <w:color w:val="000000" w:themeColor="text1"/>
        </w:rPr>
        <w:t>–</w:t>
      </w:r>
      <w:r w:rsidR="00636F8F">
        <w:rPr>
          <w:rFonts w:ascii="Arial" w:hAnsi="Arial" w:cs="Arial"/>
          <w:color w:val="000000" w:themeColor="text1"/>
        </w:rPr>
        <w:t>The type of</w:t>
      </w:r>
      <w:r w:rsidRPr="00935337">
        <w:rPr>
          <w:rFonts w:ascii="Arial" w:hAnsi="Arial" w:cs="Arial"/>
          <w:color w:val="000000" w:themeColor="text1"/>
        </w:rPr>
        <w:t xml:space="preserve"> data &amp; answers required</w:t>
      </w:r>
    </w:p>
    <w:p w14:paraId="125DE435" w14:textId="294C3BA6" w:rsidR="0056350E" w:rsidRPr="00DD0675" w:rsidRDefault="00A264DB" w:rsidP="00600637">
      <w:pPr>
        <w:rPr>
          <w:rFonts w:ascii="Arial" w:hAnsi="Arial" w:cs="Arial"/>
          <w:color w:val="000000" w:themeColor="text1"/>
        </w:rPr>
      </w:pPr>
      <w:r>
        <w:rPr>
          <w:rFonts w:ascii="Arial" w:hAnsi="Arial" w:cs="Arial"/>
          <w:i/>
          <w:iCs/>
          <w:color w:val="000000" w:themeColor="text1"/>
        </w:rPr>
        <w:t>*</w:t>
      </w:r>
      <w:r w:rsidRPr="00A264DB">
        <w:rPr>
          <w:rFonts w:ascii="Arial" w:hAnsi="Arial" w:cs="Arial"/>
          <w:i/>
          <w:iCs/>
          <w:color w:val="000000" w:themeColor="text1"/>
        </w:rPr>
        <w:t xml:space="preserve">See Gough D, Thomas J, Oliver S. (2012) Clarifying differences between review designs and methods. </w:t>
      </w:r>
      <w:r w:rsidRPr="00A264DB">
        <w:rPr>
          <w:rFonts w:ascii="Arial" w:hAnsi="Arial" w:cs="Arial"/>
          <w:color w:val="000000" w:themeColor="text1"/>
        </w:rPr>
        <w:t>Systematic Reviews 2012</w:t>
      </w:r>
      <w:r w:rsidRPr="00A264DB">
        <w:rPr>
          <w:rFonts w:ascii="Arial" w:hAnsi="Arial" w:cs="Arial"/>
          <w:i/>
          <w:iCs/>
          <w:color w:val="000000" w:themeColor="text1"/>
        </w:rPr>
        <w:t>, 1:28.</w:t>
      </w:r>
    </w:p>
    <w:p w14:paraId="1789F65B" w14:textId="77777777" w:rsidR="00CE5885" w:rsidRPr="00942280" w:rsidRDefault="00CE5885" w:rsidP="00600637">
      <w:pPr>
        <w:rPr>
          <w:rFonts w:ascii="Arial" w:hAnsi="Arial" w:cs="Arial"/>
          <w:b/>
        </w:rPr>
      </w:pPr>
    </w:p>
    <w:p w14:paraId="5B6EFBC1" w14:textId="31999007" w:rsidR="00AF4510" w:rsidRPr="00AF4510" w:rsidRDefault="00864D57" w:rsidP="00D076EE">
      <w:pPr>
        <w:rPr>
          <w:rFonts w:ascii="Arial" w:hAnsi="Arial" w:cs="Arial"/>
        </w:rPr>
      </w:pPr>
      <w:r w:rsidRPr="00942280">
        <w:rPr>
          <w:rFonts w:ascii="Arial" w:hAnsi="Arial" w:cs="Arial"/>
          <w:b/>
        </w:rPr>
        <w:t>Slide 5:</w:t>
      </w:r>
      <w:r w:rsidR="00170A85" w:rsidRPr="00942280">
        <w:rPr>
          <w:rFonts w:ascii="Arial" w:hAnsi="Arial" w:cs="Arial"/>
          <w:b/>
        </w:rPr>
        <w:t xml:space="preserve"> </w:t>
      </w:r>
      <w:r w:rsidR="00D076EE">
        <w:rPr>
          <w:rFonts w:ascii="Arial" w:hAnsi="Arial" w:cs="Arial"/>
          <w:b/>
        </w:rPr>
        <w:t>Systematic review as a project</w:t>
      </w:r>
      <w:r w:rsidR="00306A44">
        <w:rPr>
          <w:rFonts w:ascii="Arial" w:hAnsi="Arial" w:cs="Arial"/>
        </w:rPr>
        <w:t>.</w:t>
      </w:r>
    </w:p>
    <w:p w14:paraId="5AA7A0FE" w14:textId="6C991822" w:rsidR="0060212E" w:rsidRPr="0060212E" w:rsidRDefault="0060212E" w:rsidP="0060212E">
      <w:pPr>
        <w:rPr>
          <w:rFonts w:ascii="Arial" w:hAnsi="Arial" w:cs="Arial"/>
          <w:color w:val="000000" w:themeColor="text1"/>
        </w:rPr>
      </w:pPr>
      <w:r w:rsidRPr="0060212E">
        <w:rPr>
          <w:rFonts w:ascii="Arial" w:hAnsi="Arial" w:cs="Arial"/>
          <w:color w:val="000000" w:themeColor="text1"/>
        </w:rPr>
        <w:t>•</w:t>
      </w:r>
      <w:r w:rsidR="00DD0675">
        <w:rPr>
          <w:rFonts w:ascii="Arial" w:hAnsi="Arial" w:cs="Arial"/>
          <w:color w:val="000000" w:themeColor="text1"/>
        </w:rPr>
        <w:t xml:space="preserve"> </w:t>
      </w:r>
      <w:r w:rsidRPr="0060212E">
        <w:rPr>
          <w:rFonts w:ascii="Arial" w:hAnsi="Arial" w:cs="Arial"/>
          <w:color w:val="000000" w:themeColor="text1"/>
        </w:rPr>
        <w:t xml:space="preserve">The possibilities of a systematic review are determined by the three factors </w:t>
      </w:r>
    </w:p>
    <w:p w14:paraId="6BD80F0E" w14:textId="2FA7A8BD" w:rsidR="0060212E" w:rsidRPr="0060212E" w:rsidRDefault="008C2E8C" w:rsidP="0060212E">
      <w:pPr>
        <w:rPr>
          <w:rFonts w:ascii="Arial" w:hAnsi="Arial" w:cs="Arial"/>
          <w:color w:val="000000" w:themeColor="text1"/>
        </w:rPr>
      </w:pPr>
      <w:r w:rsidRPr="00935337">
        <w:rPr>
          <w:rFonts w:ascii="Arial" w:hAnsi="Arial" w:cs="Arial"/>
          <w:color w:val="000000" w:themeColor="text1"/>
        </w:rPr>
        <w:t>–</w:t>
      </w:r>
      <w:r w:rsidR="0060212E" w:rsidRPr="0060212E">
        <w:rPr>
          <w:rFonts w:ascii="Arial" w:hAnsi="Arial" w:cs="Arial"/>
          <w:color w:val="000000" w:themeColor="text1"/>
        </w:rPr>
        <w:t>The scope of the work</w:t>
      </w:r>
    </w:p>
    <w:p w14:paraId="5AC683AC" w14:textId="1D289C9E" w:rsidR="0060212E" w:rsidRPr="0060212E" w:rsidRDefault="008C2E8C" w:rsidP="0060212E">
      <w:pPr>
        <w:rPr>
          <w:rFonts w:ascii="Arial" w:hAnsi="Arial" w:cs="Arial"/>
          <w:color w:val="000000" w:themeColor="text1"/>
        </w:rPr>
      </w:pPr>
      <w:r w:rsidRPr="00935337">
        <w:rPr>
          <w:rFonts w:ascii="Arial" w:hAnsi="Arial" w:cs="Arial"/>
          <w:color w:val="000000" w:themeColor="text1"/>
        </w:rPr>
        <w:t>–</w:t>
      </w:r>
      <w:r w:rsidR="0060212E" w:rsidRPr="0060212E">
        <w:rPr>
          <w:rFonts w:ascii="Arial" w:hAnsi="Arial" w:cs="Arial"/>
          <w:color w:val="000000" w:themeColor="text1"/>
        </w:rPr>
        <w:t>The quality required</w:t>
      </w:r>
    </w:p>
    <w:p w14:paraId="0CB6336E" w14:textId="23600BC8" w:rsidR="0060212E" w:rsidRPr="0060212E" w:rsidRDefault="008C2E8C" w:rsidP="0060212E">
      <w:pPr>
        <w:rPr>
          <w:rFonts w:ascii="Arial" w:hAnsi="Arial" w:cs="Arial"/>
          <w:color w:val="000000" w:themeColor="text1"/>
        </w:rPr>
      </w:pPr>
      <w:r w:rsidRPr="00935337">
        <w:rPr>
          <w:rFonts w:ascii="Arial" w:hAnsi="Arial" w:cs="Arial"/>
          <w:color w:val="000000" w:themeColor="text1"/>
        </w:rPr>
        <w:t>–</w:t>
      </w:r>
      <w:r w:rsidR="0060212E" w:rsidRPr="0060212E">
        <w:rPr>
          <w:rFonts w:ascii="Arial" w:hAnsi="Arial" w:cs="Arial"/>
          <w:color w:val="000000" w:themeColor="text1"/>
        </w:rPr>
        <w:t xml:space="preserve">The time and resources available </w:t>
      </w:r>
    </w:p>
    <w:p w14:paraId="44DFC38D" w14:textId="483FBF78" w:rsidR="0060212E" w:rsidRDefault="0060212E" w:rsidP="0060212E">
      <w:pPr>
        <w:rPr>
          <w:rFonts w:ascii="Arial" w:hAnsi="Arial" w:cs="Arial"/>
          <w:color w:val="000000" w:themeColor="text1"/>
        </w:rPr>
      </w:pPr>
      <w:r w:rsidRPr="0060212E">
        <w:rPr>
          <w:rFonts w:ascii="Arial" w:hAnsi="Arial" w:cs="Arial"/>
          <w:color w:val="000000" w:themeColor="text1"/>
        </w:rPr>
        <w:t>•</w:t>
      </w:r>
      <w:r w:rsidR="00DD0675">
        <w:rPr>
          <w:rFonts w:ascii="Arial" w:hAnsi="Arial" w:cs="Arial"/>
          <w:color w:val="000000" w:themeColor="text1"/>
        </w:rPr>
        <w:t xml:space="preserve"> </w:t>
      </w:r>
      <w:proofErr w:type="gramStart"/>
      <w:r w:rsidR="00244F2C">
        <w:rPr>
          <w:rFonts w:ascii="Arial" w:hAnsi="Arial" w:cs="Arial"/>
          <w:color w:val="000000" w:themeColor="text1"/>
        </w:rPr>
        <w:t>Typically</w:t>
      </w:r>
      <w:proofErr w:type="gramEnd"/>
      <w:r w:rsidR="00244F2C">
        <w:rPr>
          <w:rFonts w:ascii="Arial" w:hAnsi="Arial" w:cs="Arial"/>
          <w:color w:val="000000" w:themeColor="text1"/>
        </w:rPr>
        <w:t xml:space="preserve"> </w:t>
      </w:r>
      <w:r w:rsidRPr="0060212E">
        <w:rPr>
          <w:rFonts w:ascii="Arial" w:hAnsi="Arial" w:cs="Arial"/>
          <w:color w:val="000000" w:themeColor="text1"/>
        </w:rPr>
        <w:t>the broader and /or more complex the review research question and/or rigorous the review methods the longer it will take to complete a systematic review</w:t>
      </w:r>
    </w:p>
    <w:p w14:paraId="55463449" w14:textId="15598C27" w:rsidR="0060212E" w:rsidRPr="0060212E" w:rsidRDefault="0060212E" w:rsidP="0060212E">
      <w:pPr>
        <w:rPr>
          <w:rFonts w:ascii="Arial" w:hAnsi="Arial" w:cs="Arial"/>
          <w:color w:val="000000" w:themeColor="text1"/>
        </w:rPr>
      </w:pPr>
      <w:r>
        <w:rPr>
          <w:rFonts w:ascii="Arial" w:hAnsi="Arial" w:cs="Arial"/>
          <w:color w:val="000000" w:themeColor="text1"/>
        </w:rPr>
        <w:t>On the right of the slide is a triangle divided into 4 smaller triangles. The triangle in the middle is blank. Triangle at the top is labeled Scope of ‘work’, the triangle on the bottom left is labeled Quality of the work, the triangle on the bottom right is labeled Time &amp; resources</w:t>
      </w:r>
    </w:p>
    <w:p w14:paraId="22BCC0C0" w14:textId="77777777" w:rsidR="00CE5885" w:rsidRDefault="00CE5885" w:rsidP="00600637">
      <w:pPr>
        <w:rPr>
          <w:rFonts w:ascii="Arial" w:hAnsi="Arial" w:cs="Arial"/>
          <w:b/>
          <w:highlight w:val="yellow"/>
        </w:rPr>
      </w:pPr>
    </w:p>
    <w:p w14:paraId="5EE53D5A" w14:textId="6A241903" w:rsidR="00292430" w:rsidRDefault="00864D57" w:rsidP="000910FC">
      <w:pPr>
        <w:rPr>
          <w:rFonts w:ascii="Arial" w:hAnsi="Arial" w:cs="Arial"/>
          <w:b/>
        </w:rPr>
      </w:pPr>
      <w:r w:rsidRPr="00B421F0">
        <w:rPr>
          <w:rFonts w:ascii="Arial" w:hAnsi="Arial" w:cs="Arial"/>
          <w:b/>
        </w:rPr>
        <w:t>Slide 6:</w:t>
      </w:r>
      <w:r w:rsidR="00537482" w:rsidRPr="00B421F0">
        <w:rPr>
          <w:rFonts w:ascii="Arial" w:hAnsi="Arial" w:cs="Arial"/>
          <w:b/>
        </w:rPr>
        <w:t xml:space="preserve"> </w:t>
      </w:r>
      <w:r w:rsidR="003A5E46">
        <w:rPr>
          <w:rFonts w:ascii="Arial" w:hAnsi="Arial" w:cs="Arial"/>
          <w:b/>
        </w:rPr>
        <w:t>Undertaking reviews rapidly</w:t>
      </w:r>
    </w:p>
    <w:p w14:paraId="5DDC42A0" w14:textId="77777777" w:rsidR="003A5E46" w:rsidRPr="003A5E46" w:rsidRDefault="003A5E46" w:rsidP="003A5E46">
      <w:pPr>
        <w:rPr>
          <w:rFonts w:ascii="Arial" w:hAnsi="Arial" w:cs="Arial"/>
        </w:rPr>
      </w:pPr>
      <w:r w:rsidRPr="003A5E46">
        <w:rPr>
          <w:rFonts w:ascii="Arial" w:hAnsi="Arial" w:cs="Arial"/>
        </w:rPr>
        <w:t>Many reasons why a review might need to be taken more rapidly. Most approaches either:</w:t>
      </w:r>
    </w:p>
    <w:p w14:paraId="65F4E304" w14:textId="094680B5" w:rsidR="003A5E46" w:rsidRPr="003A5E46" w:rsidRDefault="003A5E46" w:rsidP="003A5E46">
      <w:pPr>
        <w:rPr>
          <w:rFonts w:ascii="Arial" w:hAnsi="Arial" w:cs="Arial"/>
        </w:rPr>
      </w:pPr>
      <w:r w:rsidRPr="003A5E46">
        <w:rPr>
          <w:rFonts w:ascii="Arial" w:hAnsi="Arial" w:cs="Arial"/>
        </w:rPr>
        <w:t>1. Increase speed by increasing resources whilst maintaining ‘work done’</w:t>
      </w:r>
    </w:p>
    <w:p w14:paraId="7EB60A0F" w14:textId="70C450E7" w:rsidR="003A5E46" w:rsidRPr="003A5E46" w:rsidRDefault="003A5E46" w:rsidP="003A5E46">
      <w:pPr>
        <w:rPr>
          <w:rFonts w:ascii="Arial" w:hAnsi="Arial" w:cs="Arial"/>
        </w:rPr>
      </w:pPr>
      <w:r w:rsidRPr="003A5E46">
        <w:rPr>
          <w:rFonts w:ascii="Arial" w:hAnsi="Arial" w:cs="Arial"/>
        </w:rPr>
        <w:t>2. Reduce the complexity of review question (and thus the ‘work done’) by the review</w:t>
      </w:r>
    </w:p>
    <w:p w14:paraId="28ACDA16" w14:textId="77777777" w:rsidR="003A5E46" w:rsidRPr="003A5E46" w:rsidRDefault="003A5E46" w:rsidP="003A5E46">
      <w:pPr>
        <w:ind w:left="360" w:hanging="360"/>
        <w:rPr>
          <w:rFonts w:ascii="Arial" w:hAnsi="Arial" w:cs="Arial"/>
        </w:rPr>
      </w:pPr>
      <w:r w:rsidRPr="003A5E46">
        <w:rPr>
          <w:rFonts w:ascii="Arial" w:hAnsi="Arial" w:cs="Arial"/>
        </w:rPr>
        <w:t>AND/OR</w:t>
      </w:r>
    </w:p>
    <w:p w14:paraId="0A37428E" w14:textId="3660B41E" w:rsidR="003A5E46" w:rsidRPr="003A5E46" w:rsidRDefault="003A5E46" w:rsidP="003A5E46">
      <w:pPr>
        <w:rPr>
          <w:rFonts w:ascii="Arial" w:hAnsi="Arial" w:cs="Arial"/>
        </w:rPr>
      </w:pPr>
      <w:r w:rsidRPr="003A5E46">
        <w:rPr>
          <w:rFonts w:ascii="Arial" w:hAnsi="Arial" w:cs="Arial"/>
        </w:rPr>
        <w:t xml:space="preserve">3. Reducing </w:t>
      </w:r>
      <w:proofErr w:type="spellStart"/>
      <w:r w:rsidRPr="003A5E46">
        <w:rPr>
          <w:rFonts w:ascii="Arial" w:hAnsi="Arial" w:cs="Arial"/>
        </w:rPr>
        <w:t>rigour</w:t>
      </w:r>
      <w:proofErr w:type="spellEnd"/>
      <w:r w:rsidRPr="003A5E46">
        <w:rPr>
          <w:rFonts w:ascii="Arial" w:hAnsi="Arial" w:cs="Arial"/>
        </w:rPr>
        <w:t xml:space="preserve"> of the review process and reporting</w:t>
      </w:r>
    </w:p>
    <w:p w14:paraId="0F20E372" w14:textId="7CA35A53" w:rsidR="000910FC" w:rsidRPr="00DD0675" w:rsidRDefault="003A5E46" w:rsidP="000910FC">
      <w:pPr>
        <w:rPr>
          <w:rFonts w:ascii="Arial" w:hAnsi="Arial" w:cs="Arial"/>
        </w:rPr>
      </w:pPr>
      <w:r w:rsidRPr="003A5E46">
        <w:rPr>
          <w:rFonts w:ascii="Arial" w:hAnsi="Arial" w:cs="Arial"/>
          <w:i/>
          <w:iCs/>
        </w:rPr>
        <w:t>Approaches 2 and 3 common as require fewer resources than approach 1</w:t>
      </w:r>
    </w:p>
    <w:p w14:paraId="3E3B485D" w14:textId="77777777" w:rsidR="00CE5885" w:rsidRDefault="00CE5885" w:rsidP="000910FC">
      <w:pPr>
        <w:rPr>
          <w:rFonts w:ascii="Arial" w:hAnsi="Arial" w:cs="Arial"/>
          <w:b/>
          <w:highlight w:val="yellow"/>
        </w:rPr>
      </w:pPr>
    </w:p>
    <w:p w14:paraId="201A34F9" w14:textId="2830F2C5" w:rsidR="00B83A19" w:rsidRDefault="00864D57" w:rsidP="00A71B20">
      <w:pPr>
        <w:rPr>
          <w:rFonts w:ascii="Arial" w:hAnsi="Arial" w:cs="Arial"/>
          <w:b/>
        </w:rPr>
      </w:pPr>
      <w:r w:rsidRPr="00A23A99">
        <w:rPr>
          <w:rFonts w:ascii="Arial" w:hAnsi="Arial" w:cs="Arial"/>
          <w:b/>
        </w:rPr>
        <w:t>Slide 7:</w:t>
      </w:r>
      <w:r w:rsidR="00537482" w:rsidRPr="00A23A99">
        <w:rPr>
          <w:rFonts w:ascii="Arial" w:hAnsi="Arial" w:cs="Arial"/>
          <w:b/>
        </w:rPr>
        <w:t xml:space="preserve"> </w:t>
      </w:r>
      <w:r w:rsidR="00B00FEB">
        <w:rPr>
          <w:rFonts w:ascii="Arial" w:hAnsi="Arial" w:cs="Arial"/>
          <w:b/>
        </w:rPr>
        <w:t>The common stages of a systematic review</w:t>
      </w:r>
    </w:p>
    <w:p w14:paraId="26FC3356" w14:textId="3060B5D5" w:rsidR="00B31F90" w:rsidRPr="00B31F90" w:rsidRDefault="00B31F90" w:rsidP="00B31F90">
      <w:pPr>
        <w:contextualSpacing/>
        <w:rPr>
          <w:rFonts w:ascii="Arial" w:hAnsi="Arial" w:cs="Arial"/>
        </w:rPr>
      </w:pPr>
      <w:r>
        <w:rPr>
          <w:rFonts w:ascii="Arial" w:hAnsi="Arial" w:cs="Arial"/>
          <w:bCs/>
        </w:rPr>
        <w:t xml:space="preserve">1. </w:t>
      </w:r>
      <w:r w:rsidRPr="00B31F90">
        <w:rPr>
          <w:rFonts w:ascii="Arial" w:hAnsi="Arial" w:cs="Arial"/>
          <w:bCs/>
        </w:rPr>
        <w:t xml:space="preserve">Define review stakeholders and team </w:t>
      </w:r>
    </w:p>
    <w:p w14:paraId="344A3FBD" w14:textId="092C8925" w:rsidR="00B31F90" w:rsidRPr="00B31F90" w:rsidRDefault="00B31F90" w:rsidP="00B31F90">
      <w:pPr>
        <w:contextualSpacing/>
        <w:rPr>
          <w:rFonts w:ascii="Arial" w:hAnsi="Arial" w:cs="Arial"/>
        </w:rPr>
      </w:pPr>
      <w:r>
        <w:rPr>
          <w:rFonts w:ascii="Arial" w:hAnsi="Arial" w:cs="Arial"/>
          <w:bCs/>
        </w:rPr>
        <w:t xml:space="preserve">2. </w:t>
      </w:r>
      <w:r w:rsidRPr="00B31F90">
        <w:rPr>
          <w:rFonts w:ascii="Arial" w:hAnsi="Arial" w:cs="Arial"/>
          <w:bCs/>
        </w:rPr>
        <w:t>Formulate review question, conceptual framework and inclusion criteria (develop ‘protocol’)</w:t>
      </w:r>
    </w:p>
    <w:p w14:paraId="711E84B3" w14:textId="0C95FEFA" w:rsidR="00B31F90" w:rsidRPr="00B31F90" w:rsidRDefault="00B31F90" w:rsidP="00B31F90">
      <w:pPr>
        <w:contextualSpacing/>
        <w:rPr>
          <w:rFonts w:ascii="Arial" w:hAnsi="Arial" w:cs="Arial"/>
        </w:rPr>
      </w:pPr>
      <w:r>
        <w:rPr>
          <w:rFonts w:ascii="Arial" w:hAnsi="Arial" w:cs="Arial"/>
          <w:bCs/>
        </w:rPr>
        <w:t xml:space="preserve">3. </w:t>
      </w:r>
      <w:r w:rsidRPr="00B31F90">
        <w:rPr>
          <w:rFonts w:ascii="Arial" w:hAnsi="Arial" w:cs="Arial"/>
          <w:bCs/>
        </w:rPr>
        <w:t>Search for and identify relevant studies</w:t>
      </w:r>
    </w:p>
    <w:p w14:paraId="3AD5CC40" w14:textId="71636893" w:rsidR="00B31F90" w:rsidRPr="00B31F90" w:rsidRDefault="00B31F90" w:rsidP="00B31F90">
      <w:pPr>
        <w:contextualSpacing/>
        <w:rPr>
          <w:rFonts w:ascii="Arial" w:hAnsi="Arial" w:cs="Arial"/>
        </w:rPr>
      </w:pPr>
      <w:r>
        <w:rPr>
          <w:rFonts w:ascii="Arial" w:hAnsi="Arial" w:cs="Arial"/>
          <w:bCs/>
        </w:rPr>
        <w:t xml:space="preserve">4. </w:t>
      </w:r>
      <w:r w:rsidRPr="00B31F90">
        <w:rPr>
          <w:rFonts w:ascii="Arial" w:hAnsi="Arial" w:cs="Arial"/>
          <w:bCs/>
        </w:rPr>
        <w:t>Describe studies</w:t>
      </w:r>
    </w:p>
    <w:p w14:paraId="043CFF9E" w14:textId="0DAFD29B" w:rsidR="00B31F90" w:rsidRPr="00B31F90" w:rsidRDefault="00B31F90" w:rsidP="00B31F90">
      <w:pPr>
        <w:contextualSpacing/>
        <w:rPr>
          <w:rFonts w:ascii="Arial" w:hAnsi="Arial" w:cs="Arial"/>
        </w:rPr>
      </w:pPr>
      <w:r>
        <w:rPr>
          <w:rFonts w:ascii="Arial" w:hAnsi="Arial" w:cs="Arial"/>
          <w:bCs/>
        </w:rPr>
        <w:t xml:space="preserve">5. </w:t>
      </w:r>
      <w:r w:rsidRPr="00B31F90">
        <w:rPr>
          <w:rFonts w:ascii="Arial" w:hAnsi="Arial" w:cs="Arial"/>
          <w:bCs/>
        </w:rPr>
        <w:t>Appraise included studies</w:t>
      </w:r>
    </w:p>
    <w:p w14:paraId="7B95B0FE" w14:textId="2D2F39E2" w:rsidR="00B31F90" w:rsidRPr="00B31F90" w:rsidRDefault="00B31F90" w:rsidP="00B31F90">
      <w:pPr>
        <w:contextualSpacing/>
        <w:rPr>
          <w:rFonts w:ascii="Arial" w:hAnsi="Arial" w:cs="Arial"/>
        </w:rPr>
      </w:pPr>
      <w:r>
        <w:rPr>
          <w:rFonts w:ascii="Arial" w:hAnsi="Arial" w:cs="Arial"/>
          <w:bCs/>
        </w:rPr>
        <w:t xml:space="preserve">6. </w:t>
      </w:r>
      <w:proofErr w:type="spellStart"/>
      <w:r w:rsidRPr="00B31F90">
        <w:rPr>
          <w:rFonts w:ascii="Arial" w:hAnsi="Arial" w:cs="Arial"/>
          <w:bCs/>
        </w:rPr>
        <w:t>Synthesise</w:t>
      </w:r>
      <w:proofErr w:type="spellEnd"/>
      <w:r w:rsidRPr="00B31F90">
        <w:rPr>
          <w:rFonts w:ascii="Arial" w:hAnsi="Arial" w:cs="Arial"/>
          <w:bCs/>
        </w:rPr>
        <w:t xml:space="preserve"> and appraise findings</w:t>
      </w:r>
    </w:p>
    <w:p w14:paraId="5EB22034" w14:textId="77777777" w:rsidR="00B31F90" w:rsidRDefault="00B31F90" w:rsidP="00B83A19">
      <w:pPr>
        <w:contextualSpacing/>
        <w:rPr>
          <w:rFonts w:ascii="Arial" w:hAnsi="Arial" w:cs="Arial"/>
        </w:rPr>
      </w:pPr>
      <w:r>
        <w:rPr>
          <w:rFonts w:ascii="Arial" w:hAnsi="Arial" w:cs="Arial"/>
          <w:bCs/>
        </w:rPr>
        <w:t xml:space="preserve">7. </w:t>
      </w:r>
      <w:r w:rsidRPr="00B31F90">
        <w:rPr>
          <w:rFonts w:ascii="Arial" w:hAnsi="Arial" w:cs="Arial"/>
          <w:bCs/>
        </w:rPr>
        <w:t>Communicate and engage</w:t>
      </w:r>
    </w:p>
    <w:p w14:paraId="067EB4A7" w14:textId="616D79D8" w:rsidR="00864D57" w:rsidRDefault="002B3D78" w:rsidP="00B83A19">
      <w:pPr>
        <w:contextualSpacing/>
        <w:rPr>
          <w:rFonts w:ascii="Arial" w:hAnsi="Arial" w:cs="Arial"/>
          <w:b/>
        </w:rPr>
      </w:pPr>
      <w:r w:rsidRPr="00B83A19">
        <w:rPr>
          <w:rFonts w:ascii="Arial" w:hAnsi="Arial" w:cs="Arial"/>
          <w:b/>
          <w:color w:val="000000" w:themeColor="text1"/>
        </w:rPr>
        <w:br/>
      </w:r>
      <w:r w:rsidR="00864D57" w:rsidRPr="00A23A99">
        <w:rPr>
          <w:rFonts w:ascii="Arial" w:hAnsi="Arial" w:cs="Arial"/>
          <w:b/>
        </w:rPr>
        <w:t>Slide 8:</w:t>
      </w:r>
      <w:r w:rsidR="001811F4" w:rsidRPr="00A23A99">
        <w:rPr>
          <w:rFonts w:ascii="Arial" w:hAnsi="Arial" w:cs="Arial"/>
          <w:b/>
        </w:rPr>
        <w:t xml:space="preserve"> </w:t>
      </w:r>
      <w:r w:rsidR="00322502">
        <w:rPr>
          <w:rFonts w:ascii="Arial" w:hAnsi="Arial" w:cs="Arial"/>
          <w:b/>
        </w:rPr>
        <w:t xml:space="preserve">The </w:t>
      </w:r>
      <w:r w:rsidR="005628D6">
        <w:rPr>
          <w:rFonts w:ascii="Arial" w:hAnsi="Arial" w:cs="Arial"/>
          <w:b/>
        </w:rPr>
        <w:t>common stages of a systematic review – accelerat</w:t>
      </w:r>
      <w:r w:rsidR="00600FA3">
        <w:rPr>
          <w:rFonts w:ascii="Arial" w:hAnsi="Arial" w:cs="Arial"/>
          <w:b/>
        </w:rPr>
        <w:t>ion</w:t>
      </w:r>
      <w:r w:rsidR="005628D6">
        <w:rPr>
          <w:rFonts w:ascii="Arial" w:hAnsi="Arial" w:cs="Arial"/>
          <w:b/>
        </w:rPr>
        <w:t xml:space="preserve"> strategies</w:t>
      </w:r>
    </w:p>
    <w:p w14:paraId="1D842C1C" w14:textId="3FE84549" w:rsidR="005628D6" w:rsidRPr="00B31F90" w:rsidRDefault="00600FA3" w:rsidP="005628D6">
      <w:pPr>
        <w:contextualSpacing/>
        <w:rPr>
          <w:rFonts w:ascii="Arial" w:hAnsi="Arial" w:cs="Arial"/>
        </w:rPr>
      </w:pPr>
      <w:r>
        <w:rPr>
          <w:rFonts w:ascii="Arial" w:hAnsi="Arial" w:cs="Arial"/>
          <w:bCs/>
        </w:rPr>
        <w:t xml:space="preserve">1. </w:t>
      </w:r>
      <w:r w:rsidR="005628D6" w:rsidRPr="00B31F90">
        <w:rPr>
          <w:rFonts w:ascii="Arial" w:hAnsi="Arial" w:cs="Arial"/>
          <w:bCs/>
        </w:rPr>
        <w:t xml:space="preserve">Define review stakeholders and team </w:t>
      </w:r>
    </w:p>
    <w:p w14:paraId="5A1A50D8" w14:textId="21CD1120" w:rsidR="006464C3" w:rsidRPr="00DD0675" w:rsidRDefault="00987A31" w:rsidP="006464C3">
      <w:pPr>
        <w:contextualSpacing/>
        <w:rPr>
          <w:rFonts w:ascii="Arial" w:hAnsi="Arial" w:cs="Arial"/>
        </w:rPr>
      </w:pPr>
      <w:r w:rsidRPr="00DD0675">
        <w:rPr>
          <w:rFonts w:ascii="Arial" w:hAnsi="Arial" w:cs="Arial"/>
        </w:rPr>
        <w:t>•</w:t>
      </w:r>
      <w:r w:rsidR="00DD0675">
        <w:rPr>
          <w:rFonts w:ascii="Arial" w:hAnsi="Arial" w:cs="Arial"/>
        </w:rPr>
        <w:t xml:space="preserve"> </w:t>
      </w:r>
      <w:r w:rsidR="005628D6" w:rsidRPr="00DD0675">
        <w:rPr>
          <w:rFonts w:ascii="Arial" w:hAnsi="Arial" w:cs="Arial"/>
          <w:bCs/>
        </w:rPr>
        <w:t>Limit stakeholder engagement in range and methods</w:t>
      </w:r>
    </w:p>
    <w:p w14:paraId="6F1A4D0F" w14:textId="77777777" w:rsidR="00830E12" w:rsidRDefault="00830E12" w:rsidP="006464C3">
      <w:pPr>
        <w:rPr>
          <w:rFonts w:ascii="Arial" w:hAnsi="Arial" w:cs="Arial"/>
          <w:b/>
        </w:rPr>
      </w:pPr>
    </w:p>
    <w:p w14:paraId="4369DB54" w14:textId="77777777" w:rsidR="00CE5885" w:rsidRDefault="00CE5885" w:rsidP="006464C3">
      <w:pPr>
        <w:rPr>
          <w:rFonts w:ascii="Arial" w:hAnsi="Arial" w:cs="Arial"/>
          <w:b/>
        </w:rPr>
      </w:pPr>
    </w:p>
    <w:p w14:paraId="0C98F22C" w14:textId="39894B46" w:rsidR="00600637" w:rsidRDefault="00600637" w:rsidP="006464C3">
      <w:pPr>
        <w:rPr>
          <w:rFonts w:ascii="Arial" w:hAnsi="Arial" w:cs="Arial"/>
          <w:b/>
        </w:rPr>
      </w:pPr>
      <w:r w:rsidRPr="00F82BA1">
        <w:rPr>
          <w:rFonts w:ascii="Arial" w:hAnsi="Arial" w:cs="Arial"/>
          <w:b/>
        </w:rPr>
        <w:t xml:space="preserve">Slide 9: </w:t>
      </w:r>
      <w:r w:rsidR="005628D6">
        <w:rPr>
          <w:rFonts w:ascii="Arial" w:hAnsi="Arial" w:cs="Arial"/>
          <w:b/>
        </w:rPr>
        <w:t xml:space="preserve">The common stages of a systematic review – </w:t>
      </w:r>
      <w:r w:rsidR="00600FA3">
        <w:rPr>
          <w:rFonts w:ascii="Arial" w:hAnsi="Arial" w:cs="Arial"/>
          <w:b/>
        </w:rPr>
        <w:t>acceleration strategies</w:t>
      </w:r>
    </w:p>
    <w:p w14:paraId="2810EEBC" w14:textId="50785A78" w:rsidR="005628D6" w:rsidRDefault="00600FA3" w:rsidP="00600FA3">
      <w:pPr>
        <w:ind w:left="270" w:hanging="270"/>
        <w:rPr>
          <w:rFonts w:ascii="Arial" w:hAnsi="Arial" w:cs="Arial"/>
        </w:rPr>
      </w:pPr>
      <w:r>
        <w:rPr>
          <w:rFonts w:ascii="Arial" w:hAnsi="Arial" w:cs="Arial"/>
          <w:bCs/>
        </w:rPr>
        <w:t xml:space="preserve">2. </w:t>
      </w:r>
      <w:r w:rsidR="005628D6" w:rsidRPr="00B31F90">
        <w:rPr>
          <w:rFonts w:ascii="Arial" w:hAnsi="Arial" w:cs="Arial"/>
          <w:bCs/>
        </w:rPr>
        <w:t>Formulate review question, conceptual framework and inclusion criteria (develop ‘protocol’)</w:t>
      </w:r>
    </w:p>
    <w:p w14:paraId="2CA36C07" w14:textId="26463BCD" w:rsidR="005628D6" w:rsidRDefault="00987A31" w:rsidP="006464C3">
      <w:pPr>
        <w:rPr>
          <w:rFonts w:ascii="Arial" w:hAnsi="Arial" w:cs="Arial"/>
        </w:rPr>
      </w:pPr>
      <w:r w:rsidRPr="00DD0675">
        <w:rPr>
          <w:rFonts w:ascii="Arial" w:hAnsi="Arial" w:cs="Arial"/>
        </w:rPr>
        <w:t>•</w:t>
      </w:r>
      <w:r w:rsidR="00DD0675">
        <w:rPr>
          <w:rFonts w:ascii="Arial" w:hAnsi="Arial" w:cs="Arial"/>
        </w:rPr>
        <w:t xml:space="preserve"> </w:t>
      </w:r>
      <w:r w:rsidR="005628D6" w:rsidRPr="00DD0675">
        <w:rPr>
          <w:rFonts w:ascii="Arial" w:hAnsi="Arial" w:cs="Arial"/>
          <w:bCs/>
        </w:rPr>
        <w:t xml:space="preserve">Focus on specific population, </w:t>
      </w:r>
      <w:r w:rsidRPr="00DD0675">
        <w:rPr>
          <w:rFonts w:ascii="Arial" w:hAnsi="Arial" w:cs="Arial"/>
          <w:bCs/>
        </w:rPr>
        <w:t>specific conceptual/ practical </w:t>
      </w:r>
      <w:r w:rsidR="005628D6" w:rsidRPr="00DD0675">
        <w:rPr>
          <w:rFonts w:ascii="Arial" w:hAnsi="Arial" w:cs="Arial"/>
          <w:bCs/>
        </w:rPr>
        <w:t xml:space="preserve">definitions of phenomena reflected in tightly specified selection criteria </w:t>
      </w:r>
    </w:p>
    <w:p w14:paraId="2E0D5A8C" w14:textId="77777777" w:rsidR="00CE5885" w:rsidRDefault="00CE5885" w:rsidP="006464C3">
      <w:pPr>
        <w:rPr>
          <w:rFonts w:ascii="Arial" w:hAnsi="Arial" w:cs="Arial"/>
        </w:rPr>
      </w:pPr>
    </w:p>
    <w:p w14:paraId="640B9ED9" w14:textId="664AD662" w:rsidR="005628D6" w:rsidRDefault="008F31D1">
      <w:pPr>
        <w:rPr>
          <w:rFonts w:ascii="Arial" w:hAnsi="Arial" w:cs="Arial"/>
          <w:b/>
        </w:rPr>
      </w:pPr>
      <w:r w:rsidRPr="00A23A99">
        <w:rPr>
          <w:rFonts w:ascii="Arial" w:hAnsi="Arial" w:cs="Arial"/>
          <w:b/>
        </w:rPr>
        <w:t>Slide 10:</w:t>
      </w:r>
      <w:r w:rsidR="005628D6">
        <w:rPr>
          <w:rFonts w:ascii="Arial" w:hAnsi="Arial" w:cs="Arial"/>
          <w:b/>
        </w:rPr>
        <w:t xml:space="preserve"> The common stages of a systematic review – </w:t>
      </w:r>
      <w:r w:rsidR="00600FA3">
        <w:rPr>
          <w:rFonts w:ascii="Arial" w:hAnsi="Arial" w:cs="Arial"/>
          <w:b/>
        </w:rPr>
        <w:t>acceleration strategies</w:t>
      </w:r>
    </w:p>
    <w:p w14:paraId="3C4081CB" w14:textId="34338ACE" w:rsidR="005628D6" w:rsidRDefault="00600FA3">
      <w:pPr>
        <w:rPr>
          <w:rFonts w:ascii="Arial" w:hAnsi="Arial" w:cs="Arial"/>
          <w:b/>
        </w:rPr>
      </w:pPr>
      <w:r>
        <w:rPr>
          <w:rFonts w:ascii="Arial" w:hAnsi="Arial" w:cs="Arial"/>
          <w:bCs/>
        </w:rPr>
        <w:t xml:space="preserve">3. </w:t>
      </w:r>
      <w:r w:rsidR="005628D6" w:rsidRPr="00B31F90">
        <w:rPr>
          <w:rFonts w:ascii="Arial" w:hAnsi="Arial" w:cs="Arial"/>
          <w:bCs/>
        </w:rPr>
        <w:t>Search for and identify relevant studies</w:t>
      </w:r>
    </w:p>
    <w:p w14:paraId="7BF4DB6C" w14:textId="27E67258" w:rsidR="005628D6" w:rsidRPr="00DD0675" w:rsidRDefault="00987A31" w:rsidP="005628D6">
      <w:pPr>
        <w:rPr>
          <w:rFonts w:ascii="Arial" w:hAnsi="Arial" w:cs="Arial"/>
        </w:rPr>
      </w:pPr>
      <w:r w:rsidRPr="00DD0675">
        <w:rPr>
          <w:rFonts w:ascii="Arial" w:hAnsi="Arial" w:cs="Arial"/>
        </w:rPr>
        <w:t>•</w:t>
      </w:r>
      <w:r w:rsidR="00DD0675">
        <w:rPr>
          <w:rFonts w:ascii="Arial" w:hAnsi="Arial" w:cs="Arial"/>
        </w:rPr>
        <w:t xml:space="preserve"> </w:t>
      </w:r>
      <w:r w:rsidR="005628D6" w:rsidRPr="00DD0675">
        <w:rPr>
          <w:rFonts w:ascii="Arial" w:hAnsi="Arial" w:cs="Arial"/>
          <w:bCs/>
        </w:rPr>
        <w:t>Use fewer search sources; simpler search strings</w:t>
      </w:r>
    </w:p>
    <w:p w14:paraId="11C02403" w14:textId="38DD77B6" w:rsidR="005628D6" w:rsidRPr="00DD0675" w:rsidRDefault="00987A31">
      <w:pPr>
        <w:rPr>
          <w:rFonts w:ascii="Arial" w:hAnsi="Arial" w:cs="Arial"/>
        </w:rPr>
      </w:pPr>
      <w:r w:rsidRPr="00DD0675">
        <w:rPr>
          <w:rFonts w:ascii="Arial" w:hAnsi="Arial" w:cs="Arial"/>
        </w:rPr>
        <w:t>•</w:t>
      </w:r>
      <w:r w:rsidR="00DD0675">
        <w:rPr>
          <w:rFonts w:ascii="Arial" w:hAnsi="Arial" w:cs="Arial"/>
        </w:rPr>
        <w:t xml:space="preserve"> </w:t>
      </w:r>
      <w:r w:rsidR="005628D6" w:rsidRPr="00DD0675">
        <w:rPr>
          <w:rFonts w:ascii="Arial" w:hAnsi="Arial" w:cs="Arial"/>
          <w:bCs/>
        </w:rPr>
        <w:t>Reduced QA e.g. single person screening; emphasis on ‘clear fit’ when selecting for inclusion</w:t>
      </w:r>
    </w:p>
    <w:p w14:paraId="4F0FF2B2" w14:textId="77777777" w:rsidR="00CE5885" w:rsidRDefault="00CE5885">
      <w:pPr>
        <w:rPr>
          <w:rFonts w:ascii="Arial" w:hAnsi="Arial" w:cs="Arial"/>
          <w:b/>
        </w:rPr>
      </w:pPr>
    </w:p>
    <w:p w14:paraId="133243B6" w14:textId="4AE02A6A" w:rsidR="005628D6" w:rsidRDefault="005628D6">
      <w:pPr>
        <w:rPr>
          <w:rFonts w:ascii="Arial" w:hAnsi="Arial" w:cs="Arial"/>
          <w:b/>
        </w:rPr>
      </w:pPr>
      <w:r>
        <w:rPr>
          <w:rFonts w:ascii="Arial" w:hAnsi="Arial" w:cs="Arial"/>
          <w:b/>
        </w:rPr>
        <w:t>Slide 11:</w:t>
      </w:r>
      <w:r w:rsidRPr="005628D6">
        <w:rPr>
          <w:rFonts w:ascii="Arial" w:hAnsi="Arial" w:cs="Arial"/>
          <w:b/>
        </w:rPr>
        <w:t xml:space="preserve"> </w:t>
      </w:r>
      <w:r>
        <w:rPr>
          <w:rFonts w:ascii="Arial" w:hAnsi="Arial" w:cs="Arial"/>
          <w:b/>
        </w:rPr>
        <w:t xml:space="preserve">The common stages of a systematic review – </w:t>
      </w:r>
      <w:r w:rsidR="00600FA3">
        <w:rPr>
          <w:rFonts w:ascii="Arial" w:hAnsi="Arial" w:cs="Arial"/>
          <w:b/>
        </w:rPr>
        <w:t>acceleration strategies</w:t>
      </w:r>
    </w:p>
    <w:p w14:paraId="6E8EA99F" w14:textId="3860D92D" w:rsidR="005628D6" w:rsidRDefault="00600FA3">
      <w:pPr>
        <w:rPr>
          <w:rFonts w:ascii="Arial" w:hAnsi="Arial" w:cs="Arial"/>
          <w:bCs/>
        </w:rPr>
      </w:pPr>
      <w:r>
        <w:rPr>
          <w:rFonts w:ascii="Arial" w:hAnsi="Arial" w:cs="Arial"/>
          <w:bCs/>
        </w:rPr>
        <w:t xml:space="preserve">4. </w:t>
      </w:r>
      <w:r w:rsidR="005628D6" w:rsidRPr="00B31F90">
        <w:rPr>
          <w:rFonts w:ascii="Arial" w:hAnsi="Arial" w:cs="Arial"/>
          <w:bCs/>
        </w:rPr>
        <w:t>Describe studies</w:t>
      </w:r>
    </w:p>
    <w:p w14:paraId="231FBF70" w14:textId="35CDF284" w:rsidR="005628D6" w:rsidRPr="00DD0675" w:rsidRDefault="00987A31">
      <w:pPr>
        <w:rPr>
          <w:rFonts w:ascii="Arial" w:hAnsi="Arial" w:cs="Arial"/>
          <w:bCs/>
        </w:rPr>
      </w:pPr>
      <w:r w:rsidRPr="00DD0675">
        <w:rPr>
          <w:rFonts w:ascii="Arial" w:hAnsi="Arial" w:cs="Arial"/>
        </w:rPr>
        <w:t>•</w:t>
      </w:r>
      <w:r w:rsidR="00DD0675" w:rsidRPr="00DD0675">
        <w:rPr>
          <w:rFonts w:ascii="Arial" w:hAnsi="Arial" w:cs="Arial"/>
        </w:rPr>
        <w:t xml:space="preserve"> </w:t>
      </w:r>
      <w:r w:rsidR="005628D6" w:rsidRPr="00DD0675">
        <w:rPr>
          <w:rFonts w:ascii="Arial" w:hAnsi="Arial" w:cs="Arial"/>
          <w:bCs/>
        </w:rPr>
        <w:t xml:space="preserve">Simplify data extraction to reduce information gained from individual studies; reduce QA e.g. single person data extraction </w:t>
      </w:r>
    </w:p>
    <w:p w14:paraId="515765E1" w14:textId="77777777" w:rsidR="00CE5885" w:rsidRDefault="00CE5885">
      <w:pPr>
        <w:rPr>
          <w:rFonts w:ascii="Arial" w:hAnsi="Arial" w:cs="Arial"/>
          <w:b/>
        </w:rPr>
      </w:pPr>
    </w:p>
    <w:p w14:paraId="52603925" w14:textId="55F71F34" w:rsidR="005628D6" w:rsidRDefault="005628D6">
      <w:pPr>
        <w:rPr>
          <w:rFonts w:ascii="Arial" w:hAnsi="Arial" w:cs="Arial"/>
          <w:b/>
        </w:rPr>
      </w:pPr>
      <w:r>
        <w:rPr>
          <w:rFonts w:ascii="Arial" w:hAnsi="Arial" w:cs="Arial"/>
          <w:b/>
        </w:rPr>
        <w:t>Slide 12:</w:t>
      </w:r>
      <w:r w:rsidRPr="005628D6">
        <w:rPr>
          <w:rFonts w:ascii="Arial" w:hAnsi="Arial" w:cs="Arial"/>
          <w:b/>
        </w:rPr>
        <w:t xml:space="preserve"> </w:t>
      </w:r>
      <w:r>
        <w:rPr>
          <w:rFonts w:ascii="Arial" w:hAnsi="Arial" w:cs="Arial"/>
          <w:b/>
        </w:rPr>
        <w:t xml:space="preserve">The common stages of a systematic review – </w:t>
      </w:r>
      <w:r w:rsidR="00600FA3">
        <w:rPr>
          <w:rFonts w:ascii="Arial" w:hAnsi="Arial" w:cs="Arial"/>
          <w:b/>
        </w:rPr>
        <w:t>acceleration strategies</w:t>
      </w:r>
    </w:p>
    <w:p w14:paraId="507D2AD7" w14:textId="7678731A" w:rsidR="005628D6" w:rsidRDefault="00600FA3">
      <w:pPr>
        <w:rPr>
          <w:rFonts w:ascii="Arial" w:hAnsi="Arial" w:cs="Arial"/>
          <w:bCs/>
        </w:rPr>
      </w:pPr>
      <w:r>
        <w:rPr>
          <w:rFonts w:ascii="Arial" w:hAnsi="Arial" w:cs="Arial"/>
          <w:bCs/>
        </w:rPr>
        <w:t xml:space="preserve">5. </w:t>
      </w:r>
      <w:r w:rsidR="005628D6" w:rsidRPr="00B31F90">
        <w:rPr>
          <w:rFonts w:ascii="Arial" w:hAnsi="Arial" w:cs="Arial"/>
          <w:bCs/>
        </w:rPr>
        <w:t>Appraise included studies</w:t>
      </w:r>
    </w:p>
    <w:p w14:paraId="3F7E6252" w14:textId="5DBA5390" w:rsidR="005628D6" w:rsidRPr="00DD0675" w:rsidRDefault="00987A31">
      <w:pPr>
        <w:rPr>
          <w:rFonts w:ascii="Arial" w:hAnsi="Arial" w:cs="Arial"/>
        </w:rPr>
      </w:pPr>
      <w:r w:rsidRPr="00DD0675">
        <w:rPr>
          <w:rFonts w:ascii="Arial" w:hAnsi="Arial" w:cs="Arial"/>
        </w:rPr>
        <w:t>•</w:t>
      </w:r>
      <w:r w:rsidR="00DD0675" w:rsidRPr="00DD0675">
        <w:rPr>
          <w:rFonts w:ascii="Arial" w:hAnsi="Arial" w:cs="Arial"/>
        </w:rPr>
        <w:t xml:space="preserve"> </w:t>
      </w:r>
      <w:r w:rsidR="005628D6" w:rsidRPr="00DD0675">
        <w:rPr>
          <w:rFonts w:ascii="Arial" w:hAnsi="Arial" w:cs="Arial"/>
          <w:bCs/>
        </w:rPr>
        <w:t xml:space="preserve">Use more simple study quality assessment or none at all. If quality assessment used for selection make it very simple, reduce QA e.g. single person quality assessment. </w:t>
      </w:r>
    </w:p>
    <w:p w14:paraId="20EC4B59" w14:textId="77777777" w:rsidR="00CE5885" w:rsidRDefault="00CE5885">
      <w:pPr>
        <w:rPr>
          <w:rFonts w:ascii="Arial" w:hAnsi="Arial" w:cs="Arial"/>
          <w:b/>
        </w:rPr>
      </w:pPr>
    </w:p>
    <w:p w14:paraId="1AF6C13F" w14:textId="15801060" w:rsidR="005628D6" w:rsidRDefault="005628D6">
      <w:pPr>
        <w:rPr>
          <w:rFonts w:ascii="Arial" w:hAnsi="Arial" w:cs="Arial"/>
          <w:b/>
        </w:rPr>
      </w:pPr>
      <w:r>
        <w:rPr>
          <w:rFonts w:ascii="Arial" w:hAnsi="Arial" w:cs="Arial"/>
          <w:b/>
        </w:rPr>
        <w:t>Slide 13:</w:t>
      </w:r>
      <w:r w:rsidRPr="005628D6">
        <w:rPr>
          <w:rFonts w:ascii="Arial" w:hAnsi="Arial" w:cs="Arial"/>
          <w:b/>
        </w:rPr>
        <w:t xml:space="preserve"> </w:t>
      </w:r>
      <w:r>
        <w:rPr>
          <w:rFonts w:ascii="Arial" w:hAnsi="Arial" w:cs="Arial"/>
          <w:b/>
        </w:rPr>
        <w:t xml:space="preserve">The common stages of a systematic review – </w:t>
      </w:r>
      <w:r w:rsidR="00600FA3">
        <w:rPr>
          <w:rFonts w:ascii="Arial" w:hAnsi="Arial" w:cs="Arial"/>
          <w:b/>
        </w:rPr>
        <w:t>acceleration strategies</w:t>
      </w:r>
    </w:p>
    <w:p w14:paraId="07603BF9" w14:textId="05E4B1E5" w:rsidR="005628D6" w:rsidRDefault="00600FA3">
      <w:pPr>
        <w:rPr>
          <w:rFonts w:ascii="Arial" w:hAnsi="Arial" w:cs="Arial"/>
          <w:bCs/>
        </w:rPr>
      </w:pPr>
      <w:r>
        <w:rPr>
          <w:rFonts w:ascii="Arial" w:hAnsi="Arial" w:cs="Arial"/>
          <w:bCs/>
        </w:rPr>
        <w:t xml:space="preserve">6. </w:t>
      </w:r>
      <w:proofErr w:type="spellStart"/>
      <w:r w:rsidR="005628D6" w:rsidRPr="00B31F90">
        <w:rPr>
          <w:rFonts w:ascii="Arial" w:hAnsi="Arial" w:cs="Arial"/>
          <w:bCs/>
        </w:rPr>
        <w:t>Synthesise</w:t>
      </w:r>
      <w:proofErr w:type="spellEnd"/>
      <w:r w:rsidR="005628D6" w:rsidRPr="00B31F90">
        <w:rPr>
          <w:rFonts w:ascii="Arial" w:hAnsi="Arial" w:cs="Arial"/>
          <w:bCs/>
        </w:rPr>
        <w:t xml:space="preserve"> and appraise findings</w:t>
      </w:r>
    </w:p>
    <w:p w14:paraId="3185479F" w14:textId="50249839" w:rsidR="005628D6" w:rsidRPr="00DD0675" w:rsidRDefault="00987A31" w:rsidP="005628D6">
      <w:pPr>
        <w:rPr>
          <w:rFonts w:ascii="Arial" w:hAnsi="Arial" w:cs="Arial"/>
        </w:rPr>
      </w:pPr>
      <w:r w:rsidRPr="00DD0675">
        <w:rPr>
          <w:rFonts w:ascii="Arial" w:hAnsi="Arial" w:cs="Arial"/>
        </w:rPr>
        <w:t>•</w:t>
      </w:r>
      <w:r w:rsidR="00DD0675" w:rsidRPr="00DD0675">
        <w:rPr>
          <w:rFonts w:ascii="Arial" w:hAnsi="Arial" w:cs="Arial"/>
        </w:rPr>
        <w:t xml:space="preserve"> </w:t>
      </w:r>
      <w:r w:rsidR="005628D6" w:rsidRPr="00DD0675">
        <w:rPr>
          <w:rFonts w:ascii="Arial" w:hAnsi="Arial" w:cs="Arial"/>
          <w:bCs/>
        </w:rPr>
        <w:t xml:space="preserve">Use less complex methods of synthesis, less exploration and/or sensitivity analysis in the synthesis </w:t>
      </w:r>
    </w:p>
    <w:p w14:paraId="24134A4F" w14:textId="77777777" w:rsidR="00CE5885" w:rsidRDefault="00CE5885">
      <w:pPr>
        <w:rPr>
          <w:rFonts w:ascii="Arial" w:hAnsi="Arial" w:cs="Arial"/>
          <w:b/>
        </w:rPr>
      </w:pPr>
    </w:p>
    <w:p w14:paraId="423EBFC4" w14:textId="55A906D7" w:rsidR="005628D6" w:rsidRDefault="005628D6">
      <w:pPr>
        <w:rPr>
          <w:rFonts w:ascii="Arial" w:hAnsi="Arial" w:cs="Arial"/>
          <w:b/>
        </w:rPr>
      </w:pPr>
      <w:r>
        <w:rPr>
          <w:rFonts w:ascii="Arial" w:hAnsi="Arial" w:cs="Arial"/>
          <w:b/>
        </w:rPr>
        <w:t>Slide 14:</w:t>
      </w:r>
      <w:r w:rsidRPr="005628D6">
        <w:rPr>
          <w:rFonts w:ascii="Arial" w:hAnsi="Arial" w:cs="Arial"/>
          <w:b/>
        </w:rPr>
        <w:t xml:space="preserve"> </w:t>
      </w:r>
      <w:r>
        <w:rPr>
          <w:rFonts w:ascii="Arial" w:hAnsi="Arial" w:cs="Arial"/>
          <w:b/>
        </w:rPr>
        <w:t xml:space="preserve">The common stages of a systematic review – </w:t>
      </w:r>
      <w:r w:rsidR="00600FA3">
        <w:rPr>
          <w:rFonts w:ascii="Arial" w:hAnsi="Arial" w:cs="Arial"/>
          <w:b/>
        </w:rPr>
        <w:t>acceleration strategies</w:t>
      </w:r>
    </w:p>
    <w:p w14:paraId="0A5C4E93" w14:textId="31896500" w:rsidR="005628D6" w:rsidRDefault="00600FA3">
      <w:pPr>
        <w:rPr>
          <w:rFonts w:ascii="Arial" w:hAnsi="Arial" w:cs="Arial"/>
          <w:b/>
        </w:rPr>
      </w:pPr>
      <w:r>
        <w:rPr>
          <w:rFonts w:ascii="Arial" w:hAnsi="Arial" w:cs="Arial"/>
          <w:bCs/>
        </w:rPr>
        <w:t xml:space="preserve">7. </w:t>
      </w:r>
      <w:r w:rsidR="005628D6" w:rsidRPr="00B31F90">
        <w:rPr>
          <w:rFonts w:ascii="Arial" w:hAnsi="Arial" w:cs="Arial"/>
          <w:bCs/>
        </w:rPr>
        <w:t>Communicate and engage</w:t>
      </w:r>
    </w:p>
    <w:p w14:paraId="123F0C63" w14:textId="790B6902" w:rsidR="005628D6" w:rsidRPr="00DD0675" w:rsidRDefault="00987A31">
      <w:pPr>
        <w:rPr>
          <w:rFonts w:ascii="Arial" w:hAnsi="Arial" w:cs="Arial"/>
        </w:rPr>
      </w:pPr>
      <w:r w:rsidRPr="00DD0675">
        <w:rPr>
          <w:rFonts w:ascii="Arial" w:hAnsi="Arial" w:cs="Arial"/>
        </w:rPr>
        <w:t>•</w:t>
      </w:r>
      <w:r w:rsidR="00DD0675">
        <w:rPr>
          <w:rFonts w:ascii="Arial" w:hAnsi="Arial" w:cs="Arial"/>
        </w:rPr>
        <w:t xml:space="preserve"> </w:t>
      </w:r>
      <w:r w:rsidR="005628D6" w:rsidRPr="00DD0675">
        <w:rPr>
          <w:rFonts w:ascii="Arial" w:hAnsi="Arial" w:cs="Arial"/>
          <w:bCs/>
        </w:rPr>
        <w:t>Use shorter and less complex reports following pre-structured templates</w:t>
      </w:r>
    </w:p>
    <w:p w14:paraId="13167C4A" w14:textId="77777777" w:rsidR="00CE5885" w:rsidRDefault="00CE5885">
      <w:pPr>
        <w:rPr>
          <w:rFonts w:ascii="Arial" w:hAnsi="Arial" w:cs="Arial"/>
          <w:b/>
        </w:rPr>
      </w:pPr>
    </w:p>
    <w:p w14:paraId="17CAE12C" w14:textId="764ECA4E" w:rsidR="005628D6" w:rsidRDefault="001F1A55">
      <w:pPr>
        <w:rPr>
          <w:rFonts w:ascii="Arial" w:hAnsi="Arial" w:cs="Arial"/>
          <w:b/>
        </w:rPr>
      </w:pPr>
      <w:r>
        <w:rPr>
          <w:rFonts w:ascii="Arial" w:hAnsi="Arial" w:cs="Arial"/>
          <w:b/>
        </w:rPr>
        <w:t xml:space="preserve">Slide 15: </w:t>
      </w:r>
      <w:r w:rsidR="00542C3D">
        <w:rPr>
          <w:rFonts w:ascii="Arial" w:hAnsi="Arial" w:cs="Arial"/>
          <w:b/>
        </w:rPr>
        <w:t xml:space="preserve">What is important to consider when deciding </w:t>
      </w:r>
      <w:r w:rsidR="0093439F">
        <w:rPr>
          <w:rFonts w:ascii="Arial" w:hAnsi="Arial" w:cs="Arial"/>
          <w:b/>
        </w:rPr>
        <w:t>which acceleration strategies to use?</w:t>
      </w:r>
    </w:p>
    <w:p w14:paraId="11CB8394" w14:textId="77777777" w:rsidR="0093439F" w:rsidRPr="0093439F" w:rsidRDefault="0093439F" w:rsidP="0093439F">
      <w:pPr>
        <w:rPr>
          <w:rFonts w:ascii="Arial" w:hAnsi="Arial" w:cs="Arial"/>
        </w:rPr>
      </w:pPr>
      <w:r w:rsidRPr="0093439F">
        <w:rPr>
          <w:rFonts w:ascii="Arial" w:hAnsi="Arial" w:cs="Arial"/>
        </w:rPr>
        <w:t xml:space="preserve">•Important to remain systematic and transparent whatever choice is made </w:t>
      </w:r>
    </w:p>
    <w:p w14:paraId="47836F66" w14:textId="3531FCDA" w:rsidR="0093439F" w:rsidRPr="0093439F" w:rsidRDefault="0093439F" w:rsidP="00E82A2B">
      <w:pPr>
        <w:ind w:left="90" w:hanging="90"/>
        <w:rPr>
          <w:rFonts w:ascii="Arial" w:hAnsi="Arial" w:cs="Arial"/>
        </w:rPr>
      </w:pPr>
      <w:r w:rsidRPr="0093439F">
        <w:rPr>
          <w:rFonts w:ascii="Arial" w:hAnsi="Arial" w:cs="Arial"/>
        </w:rPr>
        <w:t>•Each strategy has potential to ‘speed–up’ review process alone</w:t>
      </w:r>
      <w:r w:rsidR="00E82A2B">
        <w:rPr>
          <w:rFonts w:ascii="Arial" w:hAnsi="Arial" w:cs="Arial"/>
        </w:rPr>
        <w:t xml:space="preserve"> or in combination with others </w:t>
      </w:r>
    </w:p>
    <w:p w14:paraId="18558375" w14:textId="77777777" w:rsidR="0093439F" w:rsidRPr="0093439F" w:rsidRDefault="0093439F" w:rsidP="00E82A2B">
      <w:pPr>
        <w:ind w:left="90" w:hanging="90"/>
        <w:rPr>
          <w:rFonts w:ascii="Arial" w:hAnsi="Arial" w:cs="Arial"/>
        </w:rPr>
      </w:pPr>
      <w:r w:rsidRPr="0093439F">
        <w:rPr>
          <w:rFonts w:ascii="Arial" w:hAnsi="Arial" w:cs="Arial"/>
        </w:rPr>
        <w:t>•Each strategy has potential to introduce ‘more’ error or ‘bias’ into a systematic review. More strategies = more risk</w:t>
      </w:r>
    </w:p>
    <w:p w14:paraId="23A0EC75" w14:textId="77777777" w:rsidR="0093439F" w:rsidRPr="0093439F" w:rsidRDefault="0093439F" w:rsidP="0093439F">
      <w:pPr>
        <w:rPr>
          <w:rFonts w:ascii="Arial" w:hAnsi="Arial" w:cs="Arial"/>
        </w:rPr>
      </w:pPr>
      <w:r w:rsidRPr="0093439F">
        <w:rPr>
          <w:rFonts w:ascii="Arial" w:hAnsi="Arial" w:cs="Arial"/>
        </w:rPr>
        <w:t xml:space="preserve">–e.g. fewer search sources increases risk of ‘not finding’ piece of relevant research </w:t>
      </w:r>
    </w:p>
    <w:p w14:paraId="6F9C0CE2" w14:textId="77777777" w:rsidR="0093439F" w:rsidRPr="0093439F" w:rsidRDefault="0093439F" w:rsidP="004D6846">
      <w:pPr>
        <w:ind w:left="90" w:hanging="90"/>
        <w:rPr>
          <w:rFonts w:ascii="Arial" w:hAnsi="Arial" w:cs="Arial"/>
        </w:rPr>
      </w:pPr>
      <w:r w:rsidRPr="0093439F">
        <w:rPr>
          <w:rFonts w:ascii="Arial" w:hAnsi="Arial" w:cs="Arial"/>
        </w:rPr>
        <w:t xml:space="preserve">–e.g. less complex quality assessment increases risk of not identifying where methods of a study are influencing results in a particular way </w:t>
      </w:r>
    </w:p>
    <w:p w14:paraId="50A725C6" w14:textId="45C875AD" w:rsidR="0093439F" w:rsidRPr="0093439F" w:rsidRDefault="0093439F" w:rsidP="004D6846">
      <w:pPr>
        <w:ind w:left="90" w:hanging="90"/>
        <w:rPr>
          <w:rFonts w:ascii="Arial" w:hAnsi="Arial" w:cs="Arial"/>
        </w:rPr>
      </w:pPr>
      <w:r w:rsidRPr="0093439F">
        <w:rPr>
          <w:rFonts w:ascii="Arial" w:hAnsi="Arial" w:cs="Arial"/>
        </w:rPr>
        <w:t>•</w:t>
      </w:r>
      <w:r w:rsidR="00DD0675">
        <w:rPr>
          <w:rFonts w:ascii="Arial" w:hAnsi="Arial" w:cs="Arial"/>
        </w:rPr>
        <w:t xml:space="preserve"> </w:t>
      </w:r>
      <w:r w:rsidRPr="0093439F">
        <w:rPr>
          <w:rFonts w:ascii="Arial" w:hAnsi="Arial" w:cs="Arial"/>
        </w:rPr>
        <w:t>Choice should be informed by all stakeholders’ views about which ‘risks’ are most important to them</w:t>
      </w:r>
    </w:p>
    <w:p w14:paraId="781D0B51" w14:textId="77777777" w:rsidR="0047379D" w:rsidRDefault="0047379D">
      <w:pPr>
        <w:rPr>
          <w:rFonts w:ascii="Arial" w:hAnsi="Arial" w:cs="Arial"/>
          <w:b/>
        </w:rPr>
      </w:pPr>
    </w:p>
    <w:p w14:paraId="5692892D" w14:textId="3A731AE9" w:rsidR="00331989" w:rsidRDefault="00331989">
      <w:pPr>
        <w:rPr>
          <w:rFonts w:ascii="Arial" w:hAnsi="Arial" w:cs="Arial"/>
          <w:b/>
        </w:rPr>
      </w:pPr>
      <w:r w:rsidRPr="0047379D">
        <w:rPr>
          <w:rFonts w:ascii="Arial" w:hAnsi="Arial" w:cs="Arial"/>
          <w:b/>
        </w:rPr>
        <w:t>Slide 16: General conclusions</w:t>
      </w:r>
    </w:p>
    <w:p w14:paraId="20CC9671" w14:textId="365742BE" w:rsidR="0047379D" w:rsidRPr="0047379D" w:rsidRDefault="0047379D" w:rsidP="0047379D">
      <w:pPr>
        <w:rPr>
          <w:rFonts w:ascii="Arial" w:hAnsi="Arial" w:cs="Arial"/>
        </w:rPr>
      </w:pPr>
      <w:r w:rsidRPr="0047379D">
        <w:rPr>
          <w:rFonts w:ascii="Arial" w:hAnsi="Arial" w:cs="Arial"/>
        </w:rPr>
        <w:lastRenderedPageBreak/>
        <w:t>•</w:t>
      </w:r>
      <w:r w:rsidR="00DD0675">
        <w:rPr>
          <w:rFonts w:ascii="Arial" w:hAnsi="Arial" w:cs="Arial"/>
        </w:rPr>
        <w:t xml:space="preserve"> </w:t>
      </w:r>
      <w:r w:rsidRPr="0047379D">
        <w:rPr>
          <w:rFonts w:ascii="Arial" w:hAnsi="Arial" w:cs="Arial"/>
        </w:rPr>
        <w:t>Systematic reviews maybe ‘acc</w:t>
      </w:r>
      <w:r>
        <w:rPr>
          <w:rFonts w:ascii="Arial" w:hAnsi="Arial" w:cs="Arial"/>
        </w:rPr>
        <w:t>elerated’ in a number of ways.</w:t>
      </w:r>
    </w:p>
    <w:p w14:paraId="63B43308" w14:textId="4CA84525" w:rsidR="0047379D" w:rsidRPr="0047379D" w:rsidRDefault="0047379D" w:rsidP="00864E72">
      <w:pPr>
        <w:ind w:left="90" w:hanging="90"/>
        <w:rPr>
          <w:rFonts w:ascii="Arial" w:hAnsi="Arial" w:cs="Arial"/>
        </w:rPr>
      </w:pPr>
      <w:r w:rsidRPr="0047379D">
        <w:rPr>
          <w:rFonts w:ascii="Arial" w:hAnsi="Arial" w:cs="Arial"/>
        </w:rPr>
        <w:t>•</w:t>
      </w:r>
      <w:r w:rsidR="00DD0675">
        <w:rPr>
          <w:rFonts w:ascii="Arial" w:hAnsi="Arial" w:cs="Arial"/>
        </w:rPr>
        <w:t xml:space="preserve"> </w:t>
      </w:r>
      <w:r w:rsidRPr="0047379D">
        <w:rPr>
          <w:rFonts w:ascii="Arial" w:hAnsi="Arial" w:cs="Arial"/>
        </w:rPr>
        <w:t>Evidence claims based on the review findings should be consistent with the limitations of the systematic review question and methods.</w:t>
      </w:r>
    </w:p>
    <w:p w14:paraId="1316ACC6" w14:textId="6E717946" w:rsidR="0047379D" w:rsidRPr="0047379D" w:rsidRDefault="0047379D" w:rsidP="00864E72">
      <w:pPr>
        <w:ind w:left="90" w:hanging="90"/>
        <w:rPr>
          <w:rFonts w:ascii="Arial" w:hAnsi="Arial" w:cs="Arial"/>
        </w:rPr>
      </w:pPr>
      <w:r w:rsidRPr="0047379D">
        <w:rPr>
          <w:rFonts w:ascii="Arial" w:hAnsi="Arial" w:cs="Arial"/>
        </w:rPr>
        <w:t>•</w:t>
      </w:r>
      <w:r w:rsidR="00DD0675">
        <w:rPr>
          <w:rFonts w:ascii="Arial" w:hAnsi="Arial" w:cs="Arial"/>
        </w:rPr>
        <w:t xml:space="preserve"> </w:t>
      </w:r>
      <w:r w:rsidRPr="0047379D">
        <w:rPr>
          <w:rFonts w:ascii="Arial" w:hAnsi="Arial" w:cs="Arial"/>
        </w:rPr>
        <w:t>Acceleration strategies are probably less ‘risky’ when the review research question can be very clear about the population, phenomena and data/ answers/ outcomes of interest.</w:t>
      </w:r>
    </w:p>
    <w:p w14:paraId="67EEECDD" w14:textId="124674A8" w:rsidR="0047379D" w:rsidRPr="0047379D" w:rsidRDefault="0047379D" w:rsidP="00864E72">
      <w:pPr>
        <w:ind w:left="90" w:hanging="90"/>
        <w:rPr>
          <w:rFonts w:ascii="Arial" w:hAnsi="Arial" w:cs="Arial"/>
        </w:rPr>
      </w:pPr>
      <w:r w:rsidRPr="0047379D">
        <w:rPr>
          <w:rFonts w:ascii="Arial" w:hAnsi="Arial" w:cs="Arial"/>
        </w:rPr>
        <w:t>•</w:t>
      </w:r>
      <w:r w:rsidR="00DD0675">
        <w:rPr>
          <w:rFonts w:ascii="Arial" w:hAnsi="Arial" w:cs="Arial"/>
        </w:rPr>
        <w:t xml:space="preserve"> </w:t>
      </w:r>
      <w:r w:rsidRPr="0047379D">
        <w:rPr>
          <w:rFonts w:ascii="Arial" w:hAnsi="Arial" w:cs="Arial"/>
        </w:rPr>
        <w:t>Complexity in any of these dimensions will increase the risk that acceleration strategies may reduce the utility of the review to provide a clear rigorous answe</w:t>
      </w:r>
      <w:r>
        <w:rPr>
          <w:rFonts w:ascii="Arial" w:hAnsi="Arial" w:cs="Arial"/>
        </w:rPr>
        <w:t>r to review research question.</w:t>
      </w:r>
    </w:p>
    <w:p w14:paraId="60AAD036" w14:textId="77777777" w:rsidR="00CE5885" w:rsidRPr="0047379D" w:rsidRDefault="00CE5885">
      <w:pPr>
        <w:rPr>
          <w:rFonts w:ascii="Arial" w:hAnsi="Arial" w:cs="Arial"/>
          <w:b/>
        </w:rPr>
      </w:pPr>
    </w:p>
    <w:p w14:paraId="4EA56727" w14:textId="0D482A80" w:rsidR="00331989" w:rsidRPr="0047379D" w:rsidRDefault="0047379D">
      <w:pPr>
        <w:rPr>
          <w:rFonts w:ascii="Arial" w:hAnsi="Arial" w:cs="Arial"/>
          <w:b/>
        </w:rPr>
      </w:pPr>
      <w:r w:rsidRPr="007F0376">
        <w:rPr>
          <w:rFonts w:ascii="Arial" w:hAnsi="Arial" w:cs="Arial"/>
          <w:b/>
        </w:rPr>
        <w:t>Slide</w:t>
      </w:r>
      <w:r w:rsidRPr="0047379D">
        <w:rPr>
          <w:rFonts w:ascii="Arial" w:hAnsi="Arial" w:cs="Arial"/>
          <w:b/>
        </w:rPr>
        <w:t xml:space="preserve"> 17: Follow up references</w:t>
      </w:r>
    </w:p>
    <w:p w14:paraId="64A39609" w14:textId="33F61F2F" w:rsidR="0047379D" w:rsidRPr="0047379D" w:rsidRDefault="0047379D" w:rsidP="00864E72">
      <w:pPr>
        <w:ind w:left="90" w:hanging="90"/>
        <w:rPr>
          <w:rFonts w:ascii="Arial" w:hAnsi="Arial" w:cs="Arial"/>
        </w:rPr>
      </w:pPr>
      <w:r w:rsidRPr="0047379D">
        <w:rPr>
          <w:rFonts w:ascii="Arial" w:hAnsi="Arial" w:cs="Arial"/>
        </w:rPr>
        <w:t>•</w:t>
      </w:r>
      <w:r w:rsidR="00DD0675">
        <w:rPr>
          <w:rFonts w:ascii="Arial" w:hAnsi="Arial" w:cs="Arial"/>
        </w:rPr>
        <w:t xml:space="preserve"> </w:t>
      </w:r>
      <w:r w:rsidRPr="0047379D">
        <w:rPr>
          <w:rFonts w:ascii="Arial" w:hAnsi="Arial" w:cs="Arial"/>
        </w:rPr>
        <w:t>Thomas J, Newman M, Oliver S. (2013) Ra</w:t>
      </w:r>
      <w:bookmarkStart w:id="0" w:name="_GoBack"/>
      <w:bookmarkEnd w:id="0"/>
      <w:r w:rsidRPr="0047379D">
        <w:rPr>
          <w:rFonts w:ascii="Arial" w:hAnsi="Arial" w:cs="Arial"/>
        </w:rPr>
        <w:t xml:space="preserve">pid evidence assessments of research to inform social policy: taking stock and moving forward. </w:t>
      </w:r>
      <w:r w:rsidRPr="0047379D">
        <w:rPr>
          <w:rFonts w:ascii="Arial" w:hAnsi="Arial" w:cs="Arial"/>
          <w:i/>
          <w:iCs/>
        </w:rPr>
        <w:t>Evidence &amp; Policy</w:t>
      </w:r>
      <w:r w:rsidRPr="0047379D">
        <w:rPr>
          <w:rFonts w:ascii="Arial" w:hAnsi="Arial" w:cs="Arial"/>
        </w:rPr>
        <w:t>. 9:5–27.</w:t>
      </w:r>
    </w:p>
    <w:p w14:paraId="236EDE6C" w14:textId="043B5206" w:rsidR="005628D6" w:rsidRPr="00DD0675" w:rsidRDefault="0047379D" w:rsidP="00DD0675">
      <w:pPr>
        <w:ind w:left="90" w:hanging="90"/>
        <w:rPr>
          <w:rFonts w:ascii="Arial" w:hAnsi="Arial" w:cs="Arial"/>
        </w:rPr>
      </w:pPr>
      <w:r w:rsidRPr="0047379D">
        <w:rPr>
          <w:rFonts w:ascii="Arial" w:hAnsi="Arial" w:cs="Arial"/>
        </w:rPr>
        <w:t>•</w:t>
      </w:r>
      <w:r w:rsidR="00DD0675">
        <w:rPr>
          <w:rFonts w:ascii="Arial" w:hAnsi="Arial" w:cs="Arial"/>
        </w:rPr>
        <w:t xml:space="preserve"> </w:t>
      </w:r>
      <w:proofErr w:type="spellStart"/>
      <w:r w:rsidRPr="0047379D">
        <w:rPr>
          <w:rFonts w:ascii="Arial" w:hAnsi="Arial" w:cs="Arial"/>
        </w:rPr>
        <w:t>Caird</w:t>
      </w:r>
      <w:proofErr w:type="spellEnd"/>
      <w:r w:rsidRPr="0047379D">
        <w:rPr>
          <w:rFonts w:ascii="Arial" w:hAnsi="Arial" w:cs="Arial"/>
        </w:rPr>
        <w:t xml:space="preserve"> J, Sutcliffe K, Kwan I, Dickson K, Thomas J (2015) Mediating policy-relevant evidence at speed: are systematic reviews of systematic reviews a useful approach? </w:t>
      </w:r>
      <w:r w:rsidRPr="0047379D">
        <w:rPr>
          <w:rFonts w:ascii="Arial" w:hAnsi="Arial" w:cs="Arial"/>
          <w:i/>
          <w:iCs/>
        </w:rPr>
        <w:t>Evidence &amp; Policy</w:t>
      </w:r>
      <w:r w:rsidRPr="0047379D">
        <w:rPr>
          <w:rFonts w:ascii="Arial" w:hAnsi="Arial" w:cs="Arial"/>
        </w:rPr>
        <w:t>, 11 (1) 81-97</w:t>
      </w:r>
    </w:p>
    <w:p w14:paraId="1402A3B4" w14:textId="77777777" w:rsidR="00CE5885" w:rsidRDefault="00CE5885">
      <w:pPr>
        <w:rPr>
          <w:rFonts w:ascii="Arial" w:hAnsi="Arial" w:cs="Arial"/>
          <w:b/>
        </w:rPr>
      </w:pPr>
    </w:p>
    <w:p w14:paraId="57DD4DCF" w14:textId="3007A782" w:rsidR="009878AA" w:rsidRPr="00A45563" w:rsidRDefault="007F0376">
      <w:pPr>
        <w:rPr>
          <w:rFonts w:ascii="Arial" w:hAnsi="Arial" w:cs="Arial"/>
          <w:b/>
        </w:rPr>
      </w:pPr>
      <w:r>
        <w:rPr>
          <w:rFonts w:ascii="Arial" w:hAnsi="Arial" w:cs="Arial"/>
          <w:b/>
        </w:rPr>
        <w:t xml:space="preserve">Slide 18: </w:t>
      </w:r>
      <w:r w:rsidR="004B0FAA" w:rsidRPr="00292430">
        <w:rPr>
          <w:rFonts w:ascii="Arial" w:hAnsi="Arial" w:cs="Arial"/>
          <w:b/>
        </w:rPr>
        <w:t>Thank you</w:t>
      </w:r>
    </w:p>
    <w:p w14:paraId="60A6DDF3" w14:textId="3AEB2FCD" w:rsidR="00283501" w:rsidRPr="00DD0675" w:rsidRDefault="00DD0675" w:rsidP="00DD0675">
      <w:pPr>
        <w:widowControl w:val="0"/>
        <w:autoSpaceDE w:val="0"/>
        <w:autoSpaceDN w:val="0"/>
        <w:adjustRightInd w:val="0"/>
        <w:spacing w:line="192" w:lineRule="atLeast"/>
        <w:ind w:left="806" w:hanging="807"/>
        <w:rPr>
          <w:rFonts w:ascii="Arial" w:hAnsi="Arial" w:cs="Arial"/>
          <w:bCs/>
          <w:lang w:val="en-GB"/>
        </w:rPr>
      </w:pPr>
      <w:r>
        <w:rPr>
          <w:rFonts w:ascii="Arial" w:hAnsi="Arial" w:cs="Arial"/>
          <w:bCs/>
          <w:lang w:val="en-GB"/>
        </w:rPr>
        <w:t xml:space="preserve">Website: </w:t>
      </w:r>
      <w:r w:rsidR="00D861E9">
        <w:rPr>
          <w:rFonts w:ascii="Arial" w:hAnsi="Arial" w:cs="Arial"/>
          <w:bCs/>
          <w:lang w:val="en-GB"/>
        </w:rPr>
        <w:t xml:space="preserve">EPPI-Centre Website </w:t>
      </w:r>
      <w:hyperlink r:id="rId8" w:history="1">
        <w:r w:rsidR="00D861E9" w:rsidRPr="00D861E9">
          <w:rPr>
            <w:rFonts w:ascii="Arial" w:hAnsi="Arial" w:cs="Arial"/>
            <w:color w:val="0000E9"/>
            <w:u w:val="single" w:color="0000E9"/>
          </w:rPr>
          <w:t>http://eppi.ioe.ac.uk</w:t>
        </w:r>
      </w:hyperlink>
    </w:p>
    <w:p w14:paraId="28077570" w14:textId="633F2A69" w:rsidR="00B36DFC" w:rsidRDefault="00D861E9" w:rsidP="00D861E9">
      <w:pPr>
        <w:rPr>
          <w:rFonts w:ascii="Arial" w:hAnsi="Arial" w:cs="Arial"/>
          <w:bCs/>
          <w:lang w:val="en-GB"/>
        </w:rPr>
      </w:pPr>
      <w:r>
        <w:rPr>
          <w:rFonts w:ascii="Arial" w:hAnsi="Arial" w:cs="Arial"/>
          <w:bCs/>
          <w:lang w:val="en-GB"/>
        </w:rPr>
        <w:t>Twitter</w:t>
      </w:r>
      <w:r w:rsidR="00DD0675">
        <w:rPr>
          <w:rFonts w:ascii="Arial" w:hAnsi="Arial" w:cs="Arial"/>
          <w:bCs/>
          <w:lang w:val="en-GB"/>
        </w:rPr>
        <w:t xml:space="preserve">: </w:t>
      </w:r>
      <w:r>
        <w:rPr>
          <w:rFonts w:ascii="Arial" w:hAnsi="Arial" w:cs="Arial"/>
          <w:bCs/>
          <w:lang w:val="en-GB"/>
        </w:rPr>
        <w:t>@</w:t>
      </w:r>
      <w:proofErr w:type="spellStart"/>
      <w:r>
        <w:rPr>
          <w:rFonts w:ascii="Arial" w:hAnsi="Arial" w:cs="Arial"/>
          <w:bCs/>
          <w:lang w:val="en-GB"/>
        </w:rPr>
        <w:t>EPPICentre</w:t>
      </w:r>
      <w:proofErr w:type="spellEnd"/>
    </w:p>
    <w:p w14:paraId="716573AB" w14:textId="71ADD53D" w:rsidR="00D861E9" w:rsidRDefault="00DD0675" w:rsidP="00D861E9">
      <w:pPr>
        <w:rPr>
          <w:rFonts w:ascii="Arial" w:hAnsi="Arial" w:cs="Arial"/>
          <w:bCs/>
          <w:lang w:val="en-GB"/>
        </w:rPr>
      </w:pPr>
      <w:r>
        <w:rPr>
          <w:rFonts w:ascii="Arial" w:hAnsi="Arial" w:cs="Arial"/>
          <w:bCs/>
          <w:lang w:val="en-GB"/>
        </w:rPr>
        <w:t xml:space="preserve">Twitter: </w:t>
      </w:r>
      <w:r w:rsidR="00D861E9">
        <w:rPr>
          <w:rFonts w:ascii="Arial" w:hAnsi="Arial" w:cs="Arial"/>
          <w:bCs/>
          <w:lang w:val="en-GB"/>
        </w:rPr>
        <w:t>@</w:t>
      </w:r>
      <w:proofErr w:type="spellStart"/>
      <w:r w:rsidR="00D861E9">
        <w:rPr>
          <w:rFonts w:ascii="Arial" w:hAnsi="Arial" w:cs="Arial"/>
          <w:bCs/>
          <w:lang w:val="en-GB"/>
        </w:rPr>
        <w:t>ProfDavidGough</w:t>
      </w:r>
      <w:proofErr w:type="spellEnd"/>
    </w:p>
    <w:p w14:paraId="502FB2C6" w14:textId="12CCC119" w:rsidR="007F0376" w:rsidRDefault="00F95E39" w:rsidP="007F0376">
      <w:pPr>
        <w:rPr>
          <w:rFonts w:ascii="Arial" w:hAnsi="Arial" w:cs="Arial"/>
          <w:bCs/>
        </w:rPr>
      </w:pPr>
      <w:r>
        <w:rPr>
          <w:rFonts w:ascii="Arial" w:hAnsi="Arial" w:cs="Arial"/>
          <w:bCs/>
          <w:lang w:val="en-GB"/>
        </w:rPr>
        <w:t>Email</w:t>
      </w:r>
      <w:r w:rsidR="00DD0675">
        <w:rPr>
          <w:rFonts w:ascii="Arial" w:hAnsi="Arial" w:cs="Arial"/>
          <w:bCs/>
          <w:lang w:val="en-GB"/>
        </w:rPr>
        <w:t xml:space="preserve">: </w:t>
      </w:r>
      <w:hyperlink r:id="rId9" w:history="1">
        <w:r w:rsidR="00DD0675" w:rsidRPr="002E1478">
          <w:rPr>
            <w:rStyle w:val="Hyperlink"/>
            <w:rFonts w:ascii="Arial" w:hAnsi="Arial" w:cs="Arial"/>
            <w:bCs/>
          </w:rPr>
          <w:t>mark.newman@ucl.ac.uk</w:t>
        </w:r>
      </w:hyperlink>
    </w:p>
    <w:p w14:paraId="50EA2EA5" w14:textId="41F5AA3A" w:rsidR="007F0376" w:rsidRPr="00DD0675" w:rsidRDefault="00DD0675" w:rsidP="007F0376">
      <w:pPr>
        <w:rPr>
          <w:rFonts w:ascii="Arial" w:hAnsi="Arial" w:cs="Arial"/>
          <w:bCs/>
          <w:lang w:val="en-GB"/>
        </w:rPr>
      </w:pPr>
      <w:r>
        <w:rPr>
          <w:rFonts w:ascii="Arial" w:hAnsi="Arial" w:cs="Arial"/>
          <w:bCs/>
          <w:lang w:val="en-GB"/>
        </w:rPr>
        <w:t>Email:</w:t>
      </w:r>
      <w:r>
        <w:rPr>
          <w:rFonts w:ascii="Arial" w:hAnsi="Arial" w:cs="Arial"/>
          <w:bCs/>
          <w:lang w:val="en-GB"/>
        </w:rPr>
        <w:t xml:space="preserve"> </w:t>
      </w:r>
      <w:hyperlink r:id="rId10" w:history="1">
        <w:r w:rsidR="006400F3" w:rsidRPr="00DF303C">
          <w:rPr>
            <w:rStyle w:val="Hyperlink"/>
            <w:rFonts w:ascii="Arial" w:hAnsi="Arial" w:cs="Arial"/>
            <w:bCs/>
          </w:rPr>
          <w:t>david.gough@ucl.ac.uk</w:t>
        </w:r>
      </w:hyperlink>
    </w:p>
    <w:p w14:paraId="6A5B9254" w14:textId="77777777" w:rsidR="006400F3" w:rsidRPr="00292430" w:rsidRDefault="006400F3" w:rsidP="006400F3">
      <w:pPr>
        <w:rPr>
          <w:rFonts w:ascii="Arial" w:hAnsi="Arial" w:cs="Arial"/>
        </w:rPr>
      </w:pPr>
      <w:r w:rsidRPr="00292430">
        <w:rPr>
          <w:rFonts w:ascii="Arial" w:hAnsi="Arial" w:cs="Arial"/>
        </w:rPr>
        <w:t>Top right: IOE London logo. Leading education and social research. Institute of Education, University of London.</w:t>
      </w:r>
    </w:p>
    <w:p w14:paraId="56099986" w14:textId="77777777" w:rsidR="006400F3" w:rsidRPr="00292430" w:rsidRDefault="006400F3" w:rsidP="006400F3">
      <w:pPr>
        <w:rPr>
          <w:rFonts w:ascii="Arial" w:hAnsi="Arial" w:cs="Arial"/>
        </w:rPr>
      </w:pPr>
      <w:r w:rsidRPr="00292430">
        <w:rPr>
          <w:rFonts w:ascii="Arial" w:hAnsi="Arial" w:cs="Arial"/>
        </w:rPr>
        <w:t>Image on right: London at night - the London Eye on left, bridge over River Thames center, Westminster Palace in background on right.</w:t>
      </w:r>
    </w:p>
    <w:p w14:paraId="495390EE" w14:textId="77777777" w:rsidR="006400F3" w:rsidRPr="00292430" w:rsidRDefault="006400F3" w:rsidP="006400F3">
      <w:pPr>
        <w:rPr>
          <w:rFonts w:ascii="Arial" w:hAnsi="Arial" w:cs="Arial"/>
          <w:bCs/>
          <w:lang w:val="en-GB"/>
        </w:rPr>
      </w:pPr>
      <w:r w:rsidRPr="00292430">
        <w:rPr>
          <w:rFonts w:ascii="Arial" w:hAnsi="Arial" w:cs="Arial"/>
          <w:bCs/>
          <w:lang w:val="en-GB"/>
        </w:rPr>
        <w:t>Contact information below image:</w:t>
      </w:r>
    </w:p>
    <w:p w14:paraId="25EBDFD7" w14:textId="77777777" w:rsidR="006400F3" w:rsidRPr="00292430" w:rsidRDefault="006400F3" w:rsidP="006400F3">
      <w:pPr>
        <w:rPr>
          <w:rFonts w:ascii="Arial" w:hAnsi="Arial" w:cs="Arial"/>
        </w:rPr>
      </w:pPr>
      <w:r w:rsidRPr="00292430">
        <w:rPr>
          <w:rFonts w:ascii="Arial" w:hAnsi="Arial" w:cs="Arial"/>
          <w:bCs/>
          <w:lang w:val="en-GB"/>
        </w:rPr>
        <w:t>EPPI-Centre</w:t>
      </w:r>
    </w:p>
    <w:p w14:paraId="64F70BBA" w14:textId="77777777" w:rsidR="006400F3" w:rsidRPr="00292430" w:rsidRDefault="006400F3" w:rsidP="006400F3">
      <w:pPr>
        <w:rPr>
          <w:rFonts w:ascii="Arial" w:hAnsi="Arial" w:cs="Arial"/>
        </w:rPr>
      </w:pPr>
      <w:r w:rsidRPr="00292430">
        <w:rPr>
          <w:rFonts w:ascii="Arial" w:hAnsi="Arial" w:cs="Arial"/>
          <w:lang w:val="en-GB"/>
        </w:rPr>
        <w:t>Social Science Research Unit</w:t>
      </w:r>
    </w:p>
    <w:p w14:paraId="7489C97D" w14:textId="77777777" w:rsidR="006400F3" w:rsidRPr="00292430" w:rsidRDefault="006400F3" w:rsidP="006400F3">
      <w:pPr>
        <w:rPr>
          <w:rFonts w:ascii="Arial" w:hAnsi="Arial" w:cs="Arial"/>
        </w:rPr>
      </w:pPr>
      <w:r w:rsidRPr="00292430">
        <w:rPr>
          <w:rFonts w:ascii="Arial" w:hAnsi="Arial" w:cs="Arial"/>
          <w:lang w:val="en-GB"/>
        </w:rPr>
        <w:t>UCL Institute of Education</w:t>
      </w:r>
    </w:p>
    <w:p w14:paraId="6503C854" w14:textId="77777777" w:rsidR="006400F3" w:rsidRPr="00292430" w:rsidRDefault="006400F3" w:rsidP="006400F3">
      <w:pPr>
        <w:rPr>
          <w:rFonts w:ascii="Arial" w:hAnsi="Arial" w:cs="Arial"/>
        </w:rPr>
      </w:pPr>
      <w:r w:rsidRPr="00292430">
        <w:rPr>
          <w:rFonts w:ascii="Arial" w:hAnsi="Arial" w:cs="Arial"/>
          <w:lang w:val="en-GB"/>
        </w:rPr>
        <w:t>University College London</w:t>
      </w:r>
    </w:p>
    <w:p w14:paraId="5D292B89" w14:textId="77777777" w:rsidR="006400F3" w:rsidRPr="00292430" w:rsidRDefault="006400F3" w:rsidP="006400F3">
      <w:pPr>
        <w:rPr>
          <w:rFonts w:ascii="Arial" w:hAnsi="Arial" w:cs="Arial"/>
        </w:rPr>
      </w:pPr>
      <w:r w:rsidRPr="00292430">
        <w:rPr>
          <w:rFonts w:ascii="Arial" w:hAnsi="Arial" w:cs="Arial"/>
          <w:lang w:val="en-GB"/>
        </w:rPr>
        <w:t>18 Woburn Square</w:t>
      </w:r>
    </w:p>
    <w:p w14:paraId="0F780BA0" w14:textId="77777777" w:rsidR="006400F3" w:rsidRPr="00292430" w:rsidRDefault="006400F3" w:rsidP="006400F3">
      <w:pPr>
        <w:rPr>
          <w:rFonts w:ascii="Arial" w:hAnsi="Arial" w:cs="Arial"/>
        </w:rPr>
      </w:pPr>
      <w:r w:rsidRPr="00292430">
        <w:rPr>
          <w:rFonts w:ascii="Arial" w:hAnsi="Arial" w:cs="Arial"/>
          <w:lang w:val="en-GB"/>
        </w:rPr>
        <w:t>London WC1H 0NR</w:t>
      </w:r>
    </w:p>
    <w:p w14:paraId="0B62BF56" w14:textId="77777777" w:rsidR="006400F3" w:rsidRPr="00292430" w:rsidRDefault="006400F3" w:rsidP="006400F3">
      <w:pPr>
        <w:rPr>
          <w:rFonts w:ascii="Arial" w:hAnsi="Arial" w:cs="Arial"/>
        </w:rPr>
      </w:pPr>
      <w:r w:rsidRPr="00292430">
        <w:rPr>
          <w:rFonts w:ascii="Arial" w:hAnsi="Arial" w:cs="Arial"/>
          <w:lang w:val="en-GB"/>
        </w:rPr>
        <w:t>Tel +44 (0)20 7612 6397</w:t>
      </w:r>
    </w:p>
    <w:p w14:paraId="66530149" w14:textId="77777777" w:rsidR="006400F3" w:rsidRPr="00292430" w:rsidRDefault="006400F3" w:rsidP="006400F3">
      <w:pPr>
        <w:rPr>
          <w:rFonts w:ascii="Arial" w:hAnsi="Arial" w:cs="Arial"/>
        </w:rPr>
      </w:pPr>
      <w:r w:rsidRPr="00292430">
        <w:rPr>
          <w:rFonts w:ascii="Arial" w:hAnsi="Arial" w:cs="Arial"/>
          <w:lang w:val="en-GB"/>
        </w:rPr>
        <w:t>Fax +44 (0)20 7612 6400</w:t>
      </w:r>
    </w:p>
    <w:p w14:paraId="19652C75" w14:textId="77777777" w:rsidR="006400F3" w:rsidRPr="00292430" w:rsidRDefault="006400F3" w:rsidP="006400F3">
      <w:pPr>
        <w:rPr>
          <w:rFonts w:ascii="Arial" w:hAnsi="Arial" w:cs="Arial"/>
        </w:rPr>
      </w:pPr>
      <w:r w:rsidRPr="00292430">
        <w:rPr>
          <w:rFonts w:ascii="Arial" w:hAnsi="Arial" w:cs="Arial"/>
          <w:lang w:val="en-GB"/>
        </w:rPr>
        <w:t>Email eppi@ioe.ac.uk</w:t>
      </w:r>
    </w:p>
    <w:p w14:paraId="59673D4C" w14:textId="77777777" w:rsidR="006400F3" w:rsidRPr="00292430" w:rsidRDefault="006400F3" w:rsidP="006400F3">
      <w:pPr>
        <w:rPr>
          <w:rFonts w:ascii="Arial" w:hAnsi="Arial" w:cs="Arial"/>
        </w:rPr>
      </w:pPr>
      <w:r w:rsidRPr="00292430">
        <w:rPr>
          <w:rFonts w:ascii="Arial" w:hAnsi="Arial" w:cs="Arial"/>
          <w:lang w:val="en-GB"/>
        </w:rPr>
        <w:t>Web eppi.ioe.ac.uk/</w:t>
      </w:r>
    </w:p>
    <w:p w14:paraId="444EDC13" w14:textId="77777777" w:rsidR="00CE5885" w:rsidRDefault="00CE5885">
      <w:pPr>
        <w:rPr>
          <w:rFonts w:ascii="Arial" w:hAnsi="Arial" w:cs="Arial"/>
          <w:b/>
        </w:rPr>
      </w:pPr>
    </w:p>
    <w:p w14:paraId="08904C3D" w14:textId="77777777" w:rsidR="00DD0675" w:rsidRDefault="00DD0675">
      <w:pPr>
        <w:rPr>
          <w:rFonts w:ascii="Arial" w:hAnsi="Arial" w:cs="Arial"/>
          <w:b/>
        </w:rPr>
      </w:pPr>
    </w:p>
    <w:p w14:paraId="1A1D7AF8" w14:textId="36800BF2" w:rsidR="009878AA" w:rsidRPr="00292430" w:rsidRDefault="009878AA">
      <w:pPr>
        <w:rPr>
          <w:rFonts w:ascii="Arial" w:hAnsi="Arial" w:cs="Arial"/>
        </w:rPr>
      </w:pPr>
      <w:r w:rsidRPr="00292430">
        <w:rPr>
          <w:rFonts w:ascii="Arial" w:hAnsi="Arial" w:cs="Arial"/>
          <w:b/>
        </w:rPr>
        <w:t xml:space="preserve">Slide </w:t>
      </w:r>
      <w:r w:rsidR="00A0371F">
        <w:rPr>
          <w:rFonts w:ascii="Arial" w:hAnsi="Arial" w:cs="Arial"/>
          <w:b/>
        </w:rPr>
        <w:t>1</w:t>
      </w:r>
      <w:r w:rsidR="007F0376">
        <w:rPr>
          <w:rFonts w:ascii="Arial" w:hAnsi="Arial" w:cs="Arial"/>
          <w:b/>
        </w:rPr>
        <w:t>9</w:t>
      </w:r>
      <w:r w:rsidRPr="00292430">
        <w:rPr>
          <w:rFonts w:ascii="Arial" w:hAnsi="Arial" w:cs="Arial"/>
        </w:rPr>
        <w:t>:</w:t>
      </w:r>
      <w:r w:rsidR="008B33B9" w:rsidRPr="00292430">
        <w:rPr>
          <w:rFonts w:ascii="Arial" w:hAnsi="Arial" w:cs="Arial"/>
        </w:rPr>
        <w:t xml:space="preserve"> </w:t>
      </w:r>
      <w:r w:rsidR="008B33B9" w:rsidRPr="00292430">
        <w:rPr>
          <w:rFonts w:ascii="Arial" w:hAnsi="Arial" w:cs="Arial"/>
          <w:b/>
        </w:rPr>
        <w:t>Disclaimer</w:t>
      </w:r>
    </w:p>
    <w:p w14:paraId="68FEF0A4" w14:textId="77777777" w:rsidR="008B33B9" w:rsidRPr="00292430" w:rsidRDefault="008B33B9" w:rsidP="008B33B9">
      <w:pPr>
        <w:rPr>
          <w:rFonts w:ascii="Arial" w:hAnsi="Arial" w:cs="Arial"/>
        </w:rPr>
      </w:pPr>
      <w:r w:rsidRPr="00292430">
        <w:rPr>
          <w:rFonts w:ascii="Arial" w:hAnsi="Arial" w:cs="Arial"/>
        </w:rPr>
        <w:t xml:space="preserve">The contents of this presentation were developed by the EPPI-Centre for grant number 90DP0027 from the National Institute on Disability, Independent Living, and Rehabilitation Research (NIDILRR). NIDILRR is a Center within the Administration for Community Living (ACL), Department of Health and Human Services (HHS). The </w:t>
      </w:r>
      <w:r w:rsidRPr="00292430">
        <w:rPr>
          <w:rFonts w:ascii="Arial" w:hAnsi="Arial" w:cs="Arial"/>
        </w:rPr>
        <w:lastRenderedPageBreak/>
        <w:t xml:space="preserve">contents of this presentation do not necessarily represent the policy of NIDILRR, ACL, HHS, and you should not assume endorsement by the Federal Government. </w:t>
      </w:r>
    </w:p>
    <w:p w14:paraId="582A3382" w14:textId="706BB29A" w:rsidR="009A4BEC" w:rsidRPr="00292430" w:rsidRDefault="009B3AFD" w:rsidP="008B33B9">
      <w:pPr>
        <w:rPr>
          <w:rFonts w:ascii="Arial" w:hAnsi="Arial" w:cs="Arial"/>
        </w:rPr>
      </w:pPr>
      <w:r>
        <w:rPr>
          <w:rFonts w:ascii="Arial" w:hAnsi="Arial" w:cs="Arial"/>
        </w:rPr>
        <w:t xml:space="preserve">Bottom left </w:t>
      </w:r>
      <w:r w:rsidR="009A4BEC" w:rsidRPr="00292430">
        <w:rPr>
          <w:rFonts w:ascii="Arial" w:hAnsi="Arial" w:cs="Arial"/>
        </w:rPr>
        <w:t xml:space="preserve">AIR logo: </w:t>
      </w:r>
      <w:r w:rsidRPr="001F746D">
        <w:rPr>
          <w:rFonts w:ascii="Arial" w:hAnsi="Arial" w:cs="Arial"/>
        </w:rPr>
        <w:t>gray and blue column on left; letters in blue, AIR (R) on the right; words below in blue, American Institutes for Research (R).</w:t>
      </w:r>
    </w:p>
    <w:p w14:paraId="7729842C" w14:textId="77777777" w:rsidR="008B7DA8" w:rsidRPr="006A4F41" w:rsidRDefault="008B7DA8">
      <w:pPr>
        <w:rPr>
          <w:rFonts w:ascii="Arial" w:hAnsi="Arial" w:cs="Arial"/>
        </w:rPr>
      </w:pPr>
    </w:p>
    <w:sectPr w:rsidR="008B7DA8" w:rsidRPr="006A4F41" w:rsidSect="00FA106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80704" w14:textId="77777777" w:rsidR="00013104" w:rsidRDefault="00013104" w:rsidP="00D01230">
      <w:r>
        <w:separator/>
      </w:r>
    </w:p>
  </w:endnote>
  <w:endnote w:type="continuationSeparator" w:id="0">
    <w:p w14:paraId="386668A2" w14:textId="77777777" w:rsidR="00013104" w:rsidRDefault="00013104" w:rsidP="00D0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3420"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FD4C41" w14:textId="77777777" w:rsidR="00D01230" w:rsidRDefault="00D01230" w:rsidP="00D012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AEB1" w14:textId="77777777" w:rsidR="00D01230" w:rsidRDefault="00D01230" w:rsidP="006017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A93">
      <w:rPr>
        <w:rStyle w:val="PageNumber"/>
        <w:noProof/>
      </w:rPr>
      <w:t>1</w:t>
    </w:r>
    <w:r>
      <w:rPr>
        <w:rStyle w:val="PageNumber"/>
      </w:rPr>
      <w:fldChar w:fldCharType="end"/>
    </w:r>
  </w:p>
  <w:p w14:paraId="24BA4FF8" w14:textId="77777777" w:rsidR="00D01230" w:rsidRDefault="00D01230" w:rsidP="00D012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8B8E8" w14:textId="77777777" w:rsidR="00013104" w:rsidRDefault="00013104" w:rsidP="00D01230">
      <w:r>
        <w:separator/>
      </w:r>
    </w:p>
  </w:footnote>
  <w:footnote w:type="continuationSeparator" w:id="0">
    <w:p w14:paraId="6F9E107A" w14:textId="77777777" w:rsidR="00013104" w:rsidRDefault="00013104" w:rsidP="00D0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896"/>
    <w:multiLevelType w:val="hybridMultilevel"/>
    <w:tmpl w:val="31EA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6736"/>
    <w:multiLevelType w:val="hybridMultilevel"/>
    <w:tmpl w:val="B4C809B6"/>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A7014"/>
    <w:multiLevelType w:val="hybridMultilevel"/>
    <w:tmpl w:val="1BC22EF4"/>
    <w:lvl w:ilvl="0" w:tplc="4BBA7AF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B6F18BE"/>
    <w:multiLevelType w:val="hybridMultilevel"/>
    <w:tmpl w:val="AFB2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64DAA"/>
    <w:multiLevelType w:val="hybridMultilevel"/>
    <w:tmpl w:val="91107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84D70"/>
    <w:multiLevelType w:val="hybridMultilevel"/>
    <w:tmpl w:val="19F63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80969"/>
    <w:multiLevelType w:val="hybridMultilevel"/>
    <w:tmpl w:val="D852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50050"/>
    <w:multiLevelType w:val="hybridMultilevel"/>
    <w:tmpl w:val="7BB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F1ABB"/>
    <w:multiLevelType w:val="hybridMultilevel"/>
    <w:tmpl w:val="D48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36631"/>
    <w:multiLevelType w:val="hybridMultilevel"/>
    <w:tmpl w:val="5758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121F0"/>
    <w:multiLevelType w:val="hybridMultilevel"/>
    <w:tmpl w:val="37726A4E"/>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535E1A"/>
    <w:multiLevelType w:val="hybridMultilevel"/>
    <w:tmpl w:val="C708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84A30"/>
    <w:multiLevelType w:val="hybridMultilevel"/>
    <w:tmpl w:val="C020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705B4"/>
    <w:multiLevelType w:val="hybridMultilevel"/>
    <w:tmpl w:val="0D8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0346428"/>
    <w:multiLevelType w:val="hybridMultilevel"/>
    <w:tmpl w:val="5816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4A697E"/>
    <w:multiLevelType w:val="hybridMultilevel"/>
    <w:tmpl w:val="9CA4E7E8"/>
    <w:lvl w:ilvl="0" w:tplc="4BBA7AF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97F7C"/>
    <w:multiLevelType w:val="hybridMultilevel"/>
    <w:tmpl w:val="0FF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02CA1"/>
    <w:multiLevelType w:val="hybridMultilevel"/>
    <w:tmpl w:val="E7BEE352"/>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30425"/>
    <w:multiLevelType w:val="hybridMultilevel"/>
    <w:tmpl w:val="6C0ED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117B76"/>
    <w:multiLevelType w:val="hybridMultilevel"/>
    <w:tmpl w:val="58DEC50E"/>
    <w:lvl w:ilvl="0" w:tplc="204691B4">
      <w:start w:val="1"/>
      <w:numFmt w:val="bullet"/>
      <w:lvlText w:val="•"/>
      <w:lvlJc w:val="left"/>
      <w:pPr>
        <w:tabs>
          <w:tab w:val="num" w:pos="720"/>
        </w:tabs>
        <w:ind w:left="720" w:hanging="360"/>
      </w:pPr>
      <w:rPr>
        <w:rFonts w:ascii="Arial" w:hAnsi="Arial" w:hint="default"/>
      </w:rPr>
    </w:lvl>
    <w:lvl w:ilvl="1" w:tplc="4F88AE8E" w:tentative="1">
      <w:start w:val="1"/>
      <w:numFmt w:val="bullet"/>
      <w:lvlText w:val="•"/>
      <w:lvlJc w:val="left"/>
      <w:pPr>
        <w:tabs>
          <w:tab w:val="num" w:pos="1440"/>
        </w:tabs>
        <w:ind w:left="1440" w:hanging="360"/>
      </w:pPr>
      <w:rPr>
        <w:rFonts w:ascii="Arial" w:hAnsi="Arial" w:hint="default"/>
      </w:rPr>
    </w:lvl>
    <w:lvl w:ilvl="2" w:tplc="23665CCE" w:tentative="1">
      <w:start w:val="1"/>
      <w:numFmt w:val="bullet"/>
      <w:lvlText w:val="•"/>
      <w:lvlJc w:val="left"/>
      <w:pPr>
        <w:tabs>
          <w:tab w:val="num" w:pos="2160"/>
        </w:tabs>
        <w:ind w:left="2160" w:hanging="360"/>
      </w:pPr>
      <w:rPr>
        <w:rFonts w:ascii="Arial" w:hAnsi="Arial" w:hint="default"/>
      </w:rPr>
    </w:lvl>
    <w:lvl w:ilvl="3" w:tplc="C304E9DE" w:tentative="1">
      <w:start w:val="1"/>
      <w:numFmt w:val="bullet"/>
      <w:lvlText w:val="•"/>
      <w:lvlJc w:val="left"/>
      <w:pPr>
        <w:tabs>
          <w:tab w:val="num" w:pos="2880"/>
        </w:tabs>
        <w:ind w:left="2880" w:hanging="360"/>
      </w:pPr>
      <w:rPr>
        <w:rFonts w:ascii="Arial" w:hAnsi="Arial" w:hint="default"/>
      </w:rPr>
    </w:lvl>
    <w:lvl w:ilvl="4" w:tplc="933841DC" w:tentative="1">
      <w:start w:val="1"/>
      <w:numFmt w:val="bullet"/>
      <w:lvlText w:val="•"/>
      <w:lvlJc w:val="left"/>
      <w:pPr>
        <w:tabs>
          <w:tab w:val="num" w:pos="3600"/>
        </w:tabs>
        <w:ind w:left="3600" w:hanging="360"/>
      </w:pPr>
      <w:rPr>
        <w:rFonts w:ascii="Arial" w:hAnsi="Arial" w:hint="default"/>
      </w:rPr>
    </w:lvl>
    <w:lvl w:ilvl="5" w:tplc="F768E94E" w:tentative="1">
      <w:start w:val="1"/>
      <w:numFmt w:val="bullet"/>
      <w:lvlText w:val="•"/>
      <w:lvlJc w:val="left"/>
      <w:pPr>
        <w:tabs>
          <w:tab w:val="num" w:pos="4320"/>
        </w:tabs>
        <w:ind w:left="4320" w:hanging="360"/>
      </w:pPr>
      <w:rPr>
        <w:rFonts w:ascii="Arial" w:hAnsi="Arial" w:hint="default"/>
      </w:rPr>
    </w:lvl>
    <w:lvl w:ilvl="6" w:tplc="E3389B7C" w:tentative="1">
      <w:start w:val="1"/>
      <w:numFmt w:val="bullet"/>
      <w:lvlText w:val="•"/>
      <w:lvlJc w:val="left"/>
      <w:pPr>
        <w:tabs>
          <w:tab w:val="num" w:pos="5040"/>
        </w:tabs>
        <w:ind w:left="5040" w:hanging="360"/>
      </w:pPr>
      <w:rPr>
        <w:rFonts w:ascii="Arial" w:hAnsi="Arial" w:hint="default"/>
      </w:rPr>
    </w:lvl>
    <w:lvl w:ilvl="7" w:tplc="64E87A1E" w:tentative="1">
      <w:start w:val="1"/>
      <w:numFmt w:val="bullet"/>
      <w:lvlText w:val="•"/>
      <w:lvlJc w:val="left"/>
      <w:pPr>
        <w:tabs>
          <w:tab w:val="num" w:pos="5760"/>
        </w:tabs>
        <w:ind w:left="5760" w:hanging="360"/>
      </w:pPr>
      <w:rPr>
        <w:rFonts w:ascii="Arial" w:hAnsi="Arial" w:hint="default"/>
      </w:rPr>
    </w:lvl>
    <w:lvl w:ilvl="8" w:tplc="6D0494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FCD3441"/>
    <w:multiLevelType w:val="hybridMultilevel"/>
    <w:tmpl w:val="B652FAD8"/>
    <w:lvl w:ilvl="0" w:tplc="4BBA7AF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16"/>
  </w:num>
  <w:num w:numId="5">
    <w:abstractNumId w:val="4"/>
  </w:num>
  <w:num w:numId="6">
    <w:abstractNumId w:val="2"/>
  </w:num>
  <w:num w:numId="7">
    <w:abstractNumId w:val="13"/>
  </w:num>
  <w:num w:numId="8">
    <w:abstractNumId w:val="1"/>
  </w:num>
  <w:num w:numId="9">
    <w:abstractNumId w:val="18"/>
  </w:num>
  <w:num w:numId="10">
    <w:abstractNumId w:val="3"/>
  </w:num>
  <w:num w:numId="11">
    <w:abstractNumId w:val="5"/>
  </w:num>
  <w:num w:numId="12">
    <w:abstractNumId w:val="15"/>
  </w:num>
  <w:num w:numId="13">
    <w:abstractNumId w:val="20"/>
  </w:num>
  <w:num w:numId="14">
    <w:abstractNumId w:val="12"/>
  </w:num>
  <w:num w:numId="15">
    <w:abstractNumId w:val="14"/>
  </w:num>
  <w:num w:numId="16">
    <w:abstractNumId w:val="11"/>
  </w:num>
  <w:num w:numId="17">
    <w:abstractNumId w:val="6"/>
  </w:num>
  <w:num w:numId="18">
    <w:abstractNumId w:val="8"/>
  </w:num>
  <w:num w:numId="19">
    <w:abstractNumId w:val="9"/>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FC"/>
    <w:rsid w:val="00013104"/>
    <w:rsid w:val="00015469"/>
    <w:rsid w:val="000248E3"/>
    <w:rsid w:val="000307DF"/>
    <w:rsid w:val="0003782A"/>
    <w:rsid w:val="00047440"/>
    <w:rsid w:val="0005639E"/>
    <w:rsid w:val="000606B2"/>
    <w:rsid w:val="0006105A"/>
    <w:rsid w:val="000646EC"/>
    <w:rsid w:val="00076C7B"/>
    <w:rsid w:val="00084F3F"/>
    <w:rsid w:val="00086184"/>
    <w:rsid w:val="000910FC"/>
    <w:rsid w:val="00091814"/>
    <w:rsid w:val="0009451C"/>
    <w:rsid w:val="000A2497"/>
    <w:rsid w:val="000B5B6A"/>
    <w:rsid w:val="000C0A51"/>
    <w:rsid w:val="000C62FD"/>
    <w:rsid w:val="000E5450"/>
    <w:rsid w:val="000F26F1"/>
    <w:rsid w:val="0011153C"/>
    <w:rsid w:val="00113938"/>
    <w:rsid w:val="001166EC"/>
    <w:rsid w:val="001207E1"/>
    <w:rsid w:val="0013214F"/>
    <w:rsid w:val="001323AD"/>
    <w:rsid w:val="00134E0B"/>
    <w:rsid w:val="00141829"/>
    <w:rsid w:val="00143A93"/>
    <w:rsid w:val="00150F21"/>
    <w:rsid w:val="00164FE0"/>
    <w:rsid w:val="00166DD5"/>
    <w:rsid w:val="00170A85"/>
    <w:rsid w:val="001811F4"/>
    <w:rsid w:val="00197F7C"/>
    <w:rsid w:val="001A5317"/>
    <w:rsid w:val="001D3BE9"/>
    <w:rsid w:val="001D7331"/>
    <w:rsid w:val="001E47D5"/>
    <w:rsid w:val="001E4B03"/>
    <w:rsid w:val="001E78AF"/>
    <w:rsid w:val="001E7D11"/>
    <w:rsid w:val="001F1A55"/>
    <w:rsid w:val="001F746D"/>
    <w:rsid w:val="002037B8"/>
    <w:rsid w:val="00203873"/>
    <w:rsid w:val="00207071"/>
    <w:rsid w:val="00211A5C"/>
    <w:rsid w:val="00213ADD"/>
    <w:rsid w:val="002222AB"/>
    <w:rsid w:val="00233B5F"/>
    <w:rsid w:val="00244F2C"/>
    <w:rsid w:val="002467F6"/>
    <w:rsid w:val="002525D5"/>
    <w:rsid w:val="00272B52"/>
    <w:rsid w:val="002772AE"/>
    <w:rsid w:val="00283501"/>
    <w:rsid w:val="00292430"/>
    <w:rsid w:val="002A25AF"/>
    <w:rsid w:val="002A3304"/>
    <w:rsid w:val="002B3D78"/>
    <w:rsid w:val="002E5920"/>
    <w:rsid w:val="00300ADB"/>
    <w:rsid w:val="003060EF"/>
    <w:rsid w:val="00306A44"/>
    <w:rsid w:val="00311C43"/>
    <w:rsid w:val="00312974"/>
    <w:rsid w:val="00322502"/>
    <w:rsid w:val="00331989"/>
    <w:rsid w:val="003319A3"/>
    <w:rsid w:val="003331E0"/>
    <w:rsid w:val="00337CE9"/>
    <w:rsid w:val="0034308C"/>
    <w:rsid w:val="00343A7F"/>
    <w:rsid w:val="003555A8"/>
    <w:rsid w:val="0035641B"/>
    <w:rsid w:val="00360303"/>
    <w:rsid w:val="00366A01"/>
    <w:rsid w:val="00367725"/>
    <w:rsid w:val="0037114F"/>
    <w:rsid w:val="00382A17"/>
    <w:rsid w:val="003924D2"/>
    <w:rsid w:val="00397638"/>
    <w:rsid w:val="003A5E46"/>
    <w:rsid w:val="003A7C93"/>
    <w:rsid w:val="003B1678"/>
    <w:rsid w:val="003C4988"/>
    <w:rsid w:val="003F4237"/>
    <w:rsid w:val="003F7E03"/>
    <w:rsid w:val="00406F9D"/>
    <w:rsid w:val="00410181"/>
    <w:rsid w:val="00415146"/>
    <w:rsid w:val="00443F53"/>
    <w:rsid w:val="004506F5"/>
    <w:rsid w:val="0047379D"/>
    <w:rsid w:val="00484404"/>
    <w:rsid w:val="00486A87"/>
    <w:rsid w:val="00491981"/>
    <w:rsid w:val="00492D36"/>
    <w:rsid w:val="004977A6"/>
    <w:rsid w:val="004A3285"/>
    <w:rsid w:val="004B0FAA"/>
    <w:rsid w:val="004B5C67"/>
    <w:rsid w:val="004C2A53"/>
    <w:rsid w:val="004D6846"/>
    <w:rsid w:val="00505460"/>
    <w:rsid w:val="00513E9B"/>
    <w:rsid w:val="00515AE0"/>
    <w:rsid w:val="00517173"/>
    <w:rsid w:val="00524599"/>
    <w:rsid w:val="0052706E"/>
    <w:rsid w:val="005305B5"/>
    <w:rsid w:val="00536AA4"/>
    <w:rsid w:val="00537482"/>
    <w:rsid w:val="00542C3D"/>
    <w:rsid w:val="00554627"/>
    <w:rsid w:val="005628D6"/>
    <w:rsid w:val="0056350E"/>
    <w:rsid w:val="00581FEF"/>
    <w:rsid w:val="005820FC"/>
    <w:rsid w:val="00590C41"/>
    <w:rsid w:val="005A61CF"/>
    <w:rsid w:val="005A71C4"/>
    <w:rsid w:val="005A7966"/>
    <w:rsid w:val="005C6C50"/>
    <w:rsid w:val="005E17A1"/>
    <w:rsid w:val="005F0103"/>
    <w:rsid w:val="005F2B90"/>
    <w:rsid w:val="00600637"/>
    <w:rsid w:val="00600FA3"/>
    <w:rsid w:val="0060212E"/>
    <w:rsid w:val="00602ABB"/>
    <w:rsid w:val="00614D15"/>
    <w:rsid w:val="00636F8F"/>
    <w:rsid w:val="006400F3"/>
    <w:rsid w:val="006464C3"/>
    <w:rsid w:val="00666FF1"/>
    <w:rsid w:val="00670791"/>
    <w:rsid w:val="00676636"/>
    <w:rsid w:val="00685838"/>
    <w:rsid w:val="00685C0B"/>
    <w:rsid w:val="00692F9A"/>
    <w:rsid w:val="006A4F41"/>
    <w:rsid w:val="006B5957"/>
    <w:rsid w:val="006C187D"/>
    <w:rsid w:val="006C696D"/>
    <w:rsid w:val="006C7915"/>
    <w:rsid w:val="006D0498"/>
    <w:rsid w:val="006D38A0"/>
    <w:rsid w:val="006D6D86"/>
    <w:rsid w:val="00703C78"/>
    <w:rsid w:val="00723863"/>
    <w:rsid w:val="007373BF"/>
    <w:rsid w:val="007400AA"/>
    <w:rsid w:val="007404BD"/>
    <w:rsid w:val="00756404"/>
    <w:rsid w:val="00767AA3"/>
    <w:rsid w:val="007824E6"/>
    <w:rsid w:val="0078369A"/>
    <w:rsid w:val="007B0F75"/>
    <w:rsid w:val="007C7682"/>
    <w:rsid w:val="007D499A"/>
    <w:rsid w:val="007F0376"/>
    <w:rsid w:val="007F3FF0"/>
    <w:rsid w:val="007F5E8F"/>
    <w:rsid w:val="008059B6"/>
    <w:rsid w:val="00814952"/>
    <w:rsid w:val="00830E12"/>
    <w:rsid w:val="00832CED"/>
    <w:rsid w:val="008357C9"/>
    <w:rsid w:val="008479F6"/>
    <w:rsid w:val="00856264"/>
    <w:rsid w:val="00856DEE"/>
    <w:rsid w:val="00864D57"/>
    <w:rsid w:val="00864E72"/>
    <w:rsid w:val="008706F1"/>
    <w:rsid w:val="008820ED"/>
    <w:rsid w:val="00883B59"/>
    <w:rsid w:val="00891EB4"/>
    <w:rsid w:val="008B33B9"/>
    <w:rsid w:val="008B7DA8"/>
    <w:rsid w:val="008C2E8C"/>
    <w:rsid w:val="008D7ED3"/>
    <w:rsid w:val="008E452A"/>
    <w:rsid w:val="008F0E10"/>
    <w:rsid w:val="008F130E"/>
    <w:rsid w:val="008F31D1"/>
    <w:rsid w:val="0093439F"/>
    <w:rsid w:val="00934989"/>
    <w:rsid w:val="00935337"/>
    <w:rsid w:val="00942280"/>
    <w:rsid w:val="00943686"/>
    <w:rsid w:val="009471F9"/>
    <w:rsid w:val="00953E3F"/>
    <w:rsid w:val="009878AA"/>
    <w:rsid w:val="00987A31"/>
    <w:rsid w:val="009A4BEC"/>
    <w:rsid w:val="009B3AFD"/>
    <w:rsid w:val="009C2841"/>
    <w:rsid w:val="009D02A8"/>
    <w:rsid w:val="009E2484"/>
    <w:rsid w:val="009F7355"/>
    <w:rsid w:val="009F774E"/>
    <w:rsid w:val="00A0371F"/>
    <w:rsid w:val="00A05E03"/>
    <w:rsid w:val="00A15C66"/>
    <w:rsid w:val="00A219AD"/>
    <w:rsid w:val="00A23A99"/>
    <w:rsid w:val="00A264DB"/>
    <w:rsid w:val="00A26D9F"/>
    <w:rsid w:val="00A45563"/>
    <w:rsid w:val="00A47478"/>
    <w:rsid w:val="00A60B74"/>
    <w:rsid w:val="00A67144"/>
    <w:rsid w:val="00A703D0"/>
    <w:rsid w:val="00A71B20"/>
    <w:rsid w:val="00A75DE0"/>
    <w:rsid w:val="00A8072A"/>
    <w:rsid w:val="00A96128"/>
    <w:rsid w:val="00AA1C07"/>
    <w:rsid w:val="00AC7107"/>
    <w:rsid w:val="00AC7529"/>
    <w:rsid w:val="00AE2DFD"/>
    <w:rsid w:val="00AF0DEF"/>
    <w:rsid w:val="00AF4510"/>
    <w:rsid w:val="00B00FEB"/>
    <w:rsid w:val="00B0231A"/>
    <w:rsid w:val="00B13DE1"/>
    <w:rsid w:val="00B15262"/>
    <w:rsid w:val="00B23350"/>
    <w:rsid w:val="00B2523D"/>
    <w:rsid w:val="00B31F90"/>
    <w:rsid w:val="00B35BB3"/>
    <w:rsid w:val="00B36DFC"/>
    <w:rsid w:val="00B421F0"/>
    <w:rsid w:val="00B701BA"/>
    <w:rsid w:val="00B83A19"/>
    <w:rsid w:val="00B94B66"/>
    <w:rsid w:val="00BC4453"/>
    <w:rsid w:val="00BD020D"/>
    <w:rsid w:val="00BD0F30"/>
    <w:rsid w:val="00BE2BC5"/>
    <w:rsid w:val="00BE5EFC"/>
    <w:rsid w:val="00BF1A43"/>
    <w:rsid w:val="00C05955"/>
    <w:rsid w:val="00C10B91"/>
    <w:rsid w:val="00C216DF"/>
    <w:rsid w:val="00C2651B"/>
    <w:rsid w:val="00C26DEA"/>
    <w:rsid w:val="00C31CC1"/>
    <w:rsid w:val="00C40178"/>
    <w:rsid w:val="00C46470"/>
    <w:rsid w:val="00C70E6A"/>
    <w:rsid w:val="00C77D6A"/>
    <w:rsid w:val="00C86AF0"/>
    <w:rsid w:val="00CC46F1"/>
    <w:rsid w:val="00CC703F"/>
    <w:rsid w:val="00CD7373"/>
    <w:rsid w:val="00CE321E"/>
    <w:rsid w:val="00CE5885"/>
    <w:rsid w:val="00D01230"/>
    <w:rsid w:val="00D05D51"/>
    <w:rsid w:val="00D076EE"/>
    <w:rsid w:val="00D276EF"/>
    <w:rsid w:val="00D34161"/>
    <w:rsid w:val="00D37714"/>
    <w:rsid w:val="00D43FC8"/>
    <w:rsid w:val="00D6023D"/>
    <w:rsid w:val="00D61F6C"/>
    <w:rsid w:val="00D820EC"/>
    <w:rsid w:val="00D85E46"/>
    <w:rsid w:val="00D861E9"/>
    <w:rsid w:val="00DA5532"/>
    <w:rsid w:val="00DB4800"/>
    <w:rsid w:val="00DC48DE"/>
    <w:rsid w:val="00DD0675"/>
    <w:rsid w:val="00DD607C"/>
    <w:rsid w:val="00DE0814"/>
    <w:rsid w:val="00DE77BE"/>
    <w:rsid w:val="00DF6505"/>
    <w:rsid w:val="00E00B1A"/>
    <w:rsid w:val="00E05180"/>
    <w:rsid w:val="00E1075F"/>
    <w:rsid w:val="00E13B25"/>
    <w:rsid w:val="00E13E98"/>
    <w:rsid w:val="00E37647"/>
    <w:rsid w:val="00E405AC"/>
    <w:rsid w:val="00E54A7C"/>
    <w:rsid w:val="00E77A03"/>
    <w:rsid w:val="00E82A2B"/>
    <w:rsid w:val="00E924F1"/>
    <w:rsid w:val="00E95F42"/>
    <w:rsid w:val="00E97EB0"/>
    <w:rsid w:val="00EA2DA7"/>
    <w:rsid w:val="00EA6D8E"/>
    <w:rsid w:val="00EB2382"/>
    <w:rsid w:val="00EB6AFF"/>
    <w:rsid w:val="00EB7B71"/>
    <w:rsid w:val="00EC1892"/>
    <w:rsid w:val="00ED2B6F"/>
    <w:rsid w:val="00EE6323"/>
    <w:rsid w:val="00EF1E7F"/>
    <w:rsid w:val="00F00418"/>
    <w:rsid w:val="00F005F7"/>
    <w:rsid w:val="00F12AED"/>
    <w:rsid w:val="00F21453"/>
    <w:rsid w:val="00F30653"/>
    <w:rsid w:val="00F41B09"/>
    <w:rsid w:val="00F46F72"/>
    <w:rsid w:val="00F60E74"/>
    <w:rsid w:val="00F676AE"/>
    <w:rsid w:val="00F82BA1"/>
    <w:rsid w:val="00F95E39"/>
    <w:rsid w:val="00F965C3"/>
    <w:rsid w:val="00FA1060"/>
    <w:rsid w:val="00FC56AA"/>
    <w:rsid w:val="00FE5BB4"/>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2D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2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501"/>
    <w:rPr>
      <w:color w:val="0563C1" w:themeColor="hyperlink"/>
      <w:u w:val="single"/>
    </w:rPr>
  </w:style>
  <w:style w:type="paragraph" w:styleId="NormalWeb">
    <w:name w:val="Normal (Web)"/>
    <w:basedOn w:val="Normal"/>
    <w:uiPriority w:val="99"/>
    <w:semiHidden/>
    <w:unhideWhenUsed/>
    <w:rsid w:val="00C70E6A"/>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230"/>
    <w:pPr>
      <w:tabs>
        <w:tab w:val="center" w:pos="4680"/>
        <w:tab w:val="right" w:pos="9360"/>
      </w:tabs>
    </w:pPr>
  </w:style>
  <w:style w:type="character" w:customStyle="1" w:styleId="FooterChar">
    <w:name w:val="Footer Char"/>
    <w:basedOn w:val="DefaultParagraphFont"/>
    <w:link w:val="Footer"/>
    <w:uiPriority w:val="99"/>
    <w:rsid w:val="00D01230"/>
  </w:style>
  <w:style w:type="character" w:styleId="PageNumber">
    <w:name w:val="page number"/>
    <w:basedOn w:val="DefaultParagraphFont"/>
    <w:uiPriority w:val="99"/>
    <w:semiHidden/>
    <w:unhideWhenUsed/>
    <w:rsid w:val="00D01230"/>
  </w:style>
  <w:style w:type="paragraph" w:styleId="ListParagraph">
    <w:name w:val="List Paragraph"/>
    <w:basedOn w:val="Normal"/>
    <w:uiPriority w:val="34"/>
    <w:qFormat/>
    <w:rsid w:val="00A47478"/>
    <w:pPr>
      <w:ind w:left="720"/>
      <w:contextualSpacing/>
    </w:pPr>
  </w:style>
  <w:style w:type="character" w:styleId="FollowedHyperlink">
    <w:name w:val="FollowedHyperlink"/>
    <w:basedOn w:val="DefaultParagraphFont"/>
    <w:uiPriority w:val="99"/>
    <w:semiHidden/>
    <w:unhideWhenUsed/>
    <w:rsid w:val="00366A01"/>
    <w:rPr>
      <w:color w:val="954F72" w:themeColor="followedHyperlink"/>
      <w:u w:val="single"/>
    </w:rPr>
  </w:style>
  <w:style w:type="character" w:customStyle="1" w:styleId="apple-converted-space">
    <w:name w:val="apple-converted-space"/>
    <w:basedOn w:val="DefaultParagraphFont"/>
    <w:rsid w:val="007C7682"/>
  </w:style>
  <w:style w:type="character" w:styleId="UnresolvedMention">
    <w:name w:val="Unresolved Mention"/>
    <w:basedOn w:val="DefaultParagraphFont"/>
    <w:uiPriority w:val="99"/>
    <w:rsid w:val="00DD0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9917">
      <w:bodyDiv w:val="1"/>
      <w:marLeft w:val="0"/>
      <w:marRight w:val="0"/>
      <w:marTop w:val="0"/>
      <w:marBottom w:val="0"/>
      <w:divBdr>
        <w:top w:val="none" w:sz="0" w:space="0" w:color="auto"/>
        <w:left w:val="none" w:sz="0" w:space="0" w:color="auto"/>
        <w:bottom w:val="none" w:sz="0" w:space="0" w:color="auto"/>
        <w:right w:val="none" w:sz="0" w:space="0" w:color="auto"/>
      </w:divBdr>
    </w:div>
    <w:div w:id="466777653">
      <w:bodyDiv w:val="1"/>
      <w:marLeft w:val="0"/>
      <w:marRight w:val="0"/>
      <w:marTop w:val="0"/>
      <w:marBottom w:val="0"/>
      <w:divBdr>
        <w:top w:val="none" w:sz="0" w:space="0" w:color="auto"/>
        <w:left w:val="none" w:sz="0" w:space="0" w:color="auto"/>
        <w:bottom w:val="none" w:sz="0" w:space="0" w:color="auto"/>
        <w:right w:val="none" w:sz="0" w:space="0" w:color="auto"/>
      </w:divBdr>
    </w:div>
    <w:div w:id="513153845">
      <w:bodyDiv w:val="1"/>
      <w:marLeft w:val="0"/>
      <w:marRight w:val="0"/>
      <w:marTop w:val="0"/>
      <w:marBottom w:val="0"/>
      <w:divBdr>
        <w:top w:val="none" w:sz="0" w:space="0" w:color="auto"/>
        <w:left w:val="none" w:sz="0" w:space="0" w:color="auto"/>
        <w:bottom w:val="none" w:sz="0" w:space="0" w:color="auto"/>
        <w:right w:val="none" w:sz="0" w:space="0" w:color="auto"/>
      </w:divBdr>
    </w:div>
    <w:div w:id="774718121">
      <w:bodyDiv w:val="1"/>
      <w:marLeft w:val="0"/>
      <w:marRight w:val="0"/>
      <w:marTop w:val="0"/>
      <w:marBottom w:val="0"/>
      <w:divBdr>
        <w:top w:val="none" w:sz="0" w:space="0" w:color="auto"/>
        <w:left w:val="none" w:sz="0" w:space="0" w:color="auto"/>
        <w:bottom w:val="none" w:sz="0" w:space="0" w:color="auto"/>
        <w:right w:val="none" w:sz="0" w:space="0" w:color="auto"/>
      </w:divBdr>
    </w:div>
    <w:div w:id="887566551">
      <w:bodyDiv w:val="1"/>
      <w:marLeft w:val="0"/>
      <w:marRight w:val="0"/>
      <w:marTop w:val="0"/>
      <w:marBottom w:val="0"/>
      <w:divBdr>
        <w:top w:val="none" w:sz="0" w:space="0" w:color="auto"/>
        <w:left w:val="none" w:sz="0" w:space="0" w:color="auto"/>
        <w:bottom w:val="none" w:sz="0" w:space="0" w:color="auto"/>
        <w:right w:val="none" w:sz="0" w:space="0" w:color="auto"/>
      </w:divBdr>
    </w:div>
    <w:div w:id="894777181">
      <w:bodyDiv w:val="1"/>
      <w:marLeft w:val="0"/>
      <w:marRight w:val="0"/>
      <w:marTop w:val="0"/>
      <w:marBottom w:val="0"/>
      <w:divBdr>
        <w:top w:val="none" w:sz="0" w:space="0" w:color="auto"/>
        <w:left w:val="none" w:sz="0" w:space="0" w:color="auto"/>
        <w:bottom w:val="none" w:sz="0" w:space="0" w:color="auto"/>
        <w:right w:val="none" w:sz="0" w:space="0" w:color="auto"/>
      </w:divBdr>
    </w:div>
    <w:div w:id="1154251842">
      <w:bodyDiv w:val="1"/>
      <w:marLeft w:val="0"/>
      <w:marRight w:val="0"/>
      <w:marTop w:val="0"/>
      <w:marBottom w:val="0"/>
      <w:divBdr>
        <w:top w:val="none" w:sz="0" w:space="0" w:color="auto"/>
        <w:left w:val="none" w:sz="0" w:space="0" w:color="auto"/>
        <w:bottom w:val="none" w:sz="0" w:space="0" w:color="auto"/>
        <w:right w:val="none" w:sz="0" w:space="0" w:color="auto"/>
      </w:divBdr>
    </w:div>
    <w:div w:id="1157768197">
      <w:bodyDiv w:val="1"/>
      <w:marLeft w:val="0"/>
      <w:marRight w:val="0"/>
      <w:marTop w:val="0"/>
      <w:marBottom w:val="0"/>
      <w:divBdr>
        <w:top w:val="none" w:sz="0" w:space="0" w:color="auto"/>
        <w:left w:val="none" w:sz="0" w:space="0" w:color="auto"/>
        <w:bottom w:val="none" w:sz="0" w:space="0" w:color="auto"/>
        <w:right w:val="none" w:sz="0" w:space="0" w:color="auto"/>
      </w:divBdr>
      <w:divsChild>
        <w:div w:id="617109186">
          <w:marLeft w:val="274"/>
          <w:marRight w:val="0"/>
          <w:marTop w:val="0"/>
          <w:marBottom w:val="0"/>
          <w:divBdr>
            <w:top w:val="none" w:sz="0" w:space="0" w:color="auto"/>
            <w:left w:val="none" w:sz="0" w:space="0" w:color="auto"/>
            <w:bottom w:val="none" w:sz="0" w:space="0" w:color="auto"/>
            <w:right w:val="none" w:sz="0" w:space="0" w:color="auto"/>
          </w:divBdr>
        </w:div>
        <w:div w:id="313532469">
          <w:marLeft w:val="274"/>
          <w:marRight w:val="0"/>
          <w:marTop w:val="0"/>
          <w:marBottom w:val="0"/>
          <w:divBdr>
            <w:top w:val="none" w:sz="0" w:space="0" w:color="auto"/>
            <w:left w:val="none" w:sz="0" w:space="0" w:color="auto"/>
            <w:bottom w:val="none" w:sz="0" w:space="0" w:color="auto"/>
            <w:right w:val="none" w:sz="0" w:space="0" w:color="auto"/>
          </w:divBdr>
        </w:div>
        <w:div w:id="523717022">
          <w:marLeft w:val="274"/>
          <w:marRight w:val="0"/>
          <w:marTop w:val="0"/>
          <w:marBottom w:val="0"/>
          <w:divBdr>
            <w:top w:val="none" w:sz="0" w:space="0" w:color="auto"/>
            <w:left w:val="none" w:sz="0" w:space="0" w:color="auto"/>
            <w:bottom w:val="none" w:sz="0" w:space="0" w:color="auto"/>
            <w:right w:val="none" w:sz="0" w:space="0" w:color="auto"/>
          </w:divBdr>
        </w:div>
      </w:divsChild>
    </w:div>
    <w:div w:id="1304043372">
      <w:bodyDiv w:val="1"/>
      <w:marLeft w:val="0"/>
      <w:marRight w:val="0"/>
      <w:marTop w:val="0"/>
      <w:marBottom w:val="0"/>
      <w:divBdr>
        <w:top w:val="none" w:sz="0" w:space="0" w:color="auto"/>
        <w:left w:val="none" w:sz="0" w:space="0" w:color="auto"/>
        <w:bottom w:val="none" w:sz="0" w:space="0" w:color="auto"/>
        <w:right w:val="none" w:sz="0" w:space="0" w:color="auto"/>
      </w:divBdr>
    </w:div>
    <w:div w:id="1370689518">
      <w:bodyDiv w:val="1"/>
      <w:marLeft w:val="0"/>
      <w:marRight w:val="0"/>
      <w:marTop w:val="0"/>
      <w:marBottom w:val="0"/>
      <w:divBdr>
        <w:top w:val="none" w:sz="0" w:space="0" w:color="auto"/>
        <w:left w:val="none" w:sz="0" w:space="0" w:color="auto"/>
        <w:bottom w:val="none" w:sz="0" w:space="0" w:color="auto"/>
        <w:right w:val="none" w:sz="0" w:space="0" w:color="auto"/>
      </w:divBdr>
    </w:div>
    <w:div w:id="1391921173">
      <w:bodyDiv w:val="1"/>
      <w:marLeft w:val="0"/>
      <w:marRight w:val="0"/>
      <w:marTop w:val="0"/>
      <w:marBottom w:val="0"/>
      <w:divBdr>
        <w:top w:val="none" w:sz="0" w:space="0" w:color="auto"/>
        <w:left w:val="none" w:sz="0" w:space="0" w:color="auto"/>
        <w:bottom w:val="none" w:sz="0" w:space="0" w:color="auto"/>
        <w:right w:val="none" w:sz="0" w:space="0" w:color="auto"/>
      </w:divBdr>
    </w:div>
    <w:div w:id="1412580075">
      <w:bodyDiv w:val="1"/>
      <w:marLeft w:val="0"/>
      <w:marRight w:val="0"/>
      <w:marTop w:val="0"/>
      <w:marBottom w:val="0"/>
      <w:divBdr>
        <w:top w:val="none" w:sz="0" w:space="0" w:color="auto"/>
        <w:left w:val="none" w:sz="0" w:space="0" w:color="auto"/>
        <w:bottom w:val="none" w:sz="0" w:space="0" w:color="auto"/>
        <w:right w:val="none" w:sz="0" w:space="0" w:color="auto"/>
      </w:divBdr>
    </w:div>
    <w:div w:id="1548420088">
      <w:bodyDiv w:val="1"/>
      <w:marLeft w:val="0"/>
      <w:marRight w:val="0"/>
      <w:marTop w:val="0"/>
      <w:marBottom w:val="0"/>
      <w:divBdr>
        <w:top w:val="none" w:sz="0" w:space="0" w:color="auto"/>
        <w:left w:val="none" w:sz="0" w:space="0" w:color="auto"/>
        <w:bottom w:val="none" w:sz="0" w:space="0" w:color="auto"/>
        <w:right w:val="none" w:sz="0" w:space="0" w:color="auto"/>
      </w:divBdr>
    </w:div>
    <w:div w:id="1758284070">
      <w:bodyDiv w:val="1"/>
      <w:marLeft w:val="0"/>
      <w:marRight w:val="0"/>
      <w:marTop w:val="0"/>
      <w:marBottom w:val="0"/>
      <w:divBdr>
        <w:top w:val="none" w:sz="0" w:space="0" w:color="auto"/>
        <w:left w:val="none" w:sz="0" w:space="0" w:color="auto"/>
        <w:bottom w:val="none" w:sz="0" w:space="0" w:color="auto"/>
        <w:right w:val="none" w:sz="0" w:space="0" w:color="auto"/>
      </w:divBdr>
    </w:div>
    <w:div w:id="1917475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ppi.ioe.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pyright_PS@air.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vid.gough@ucl.ac.uk" TargetMode="External"/><Relationship Id="rId4" Type="http://schemas.openxmlformats.org/officeDocument/2006/relationships/webSettings" Target="webSettings.xml"/><Relationship Id="rId9" Type="http://schemas.openxmlformats.org/officeDocument/2006/relationships/hyperlink" Target="mailto:mark.newman@uc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2018-02-06T21:43:00Z</dcterms:created>
  <dcterms:modified xsi:type="dcterms:W3CDTF">2018-02-06T21:43:00Z</dcterms:modified>
</cp:coreProperties>
</file>