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444" w:rsidRDefault="00F61066" w:rsidP="00360444">
      <w:pPr>
        <w:jc w:val="center"/>
        <w:rPr>
          <w:rFonts w:cs="Times New Roman"/>
          <w:b/>
          <w:bCs/>
        </w:rPr>
      </w:pPr>
      <w:bookmarkStart w:id="0" w:name="_GoBack"/>
      <w:bookmarkEnd w:id="0"/>
      <w:r w:rsidRPr="00F61066">
        <w:rPr>
          <w:rFonts w:cs="Times New Roman"/>
          <w:b/>
          <w:bCs/>
          <w:lang w:val="x-none"/>
        </w:rPr>
        <w:t xml:space="preserve">Ethics in Research: </w:t>
      </w:r>
      <w:r w:rsidRPr="00F61066">
        <w:rPr>
          <w:rFonts w:cs="Times New Roman"/>
          <w:b/>
          <w:bCs/>
        </w:rPr>
        <w:t xml:space="preserve">A Science </w:t>
      </w:r>
      <w:r w:rsidRPr="00F61066">
        <w:rPr>
          <w:rFonts w:cs="Times New Roman"/>
          <w:b/>
          <w:bCs/>
        </w:rPr>
        <w:br/>
        <w:t>Lifecycle Approach</w:t>
      </w:r>
    </w:p>
    <w:p w:rsidR="00F61066" w:rsidRPr="00F61066" w:rsidRDefault="00F61066" w:rsidP="00360444">
      <w:pPr>
        <w:jc w:val="center"/>
        <w:rPr>
          <w:rFonts w:cs="Times New Roman"/>
          <w:bCs/>
        </w:rPr>
      </w:pPr>
    </w:p>
    <w:p w:rsidR="00360444" w:rsidRPr="00F61066" w:rsidRDefault="00F61066" w:rsidP="00360444">
      <w:pPr>
        <w:jc w:val="center"/>
        <w:rPr>
          <w:rFonts w:cs="Times New Roman"/>
          <w:bCs/>
        </w:rPr>
      </w:pPr>
      <w:r>
        <w:rPr>
          <w:rFonts w:cs="Times New Roman"/>
          <w:bCs/>
        </w:rPr>
        <w:t>Presenter</w:t>
      </w:r>
      <w:r w:rsidR="00360444" w:rsidRPr="00F61066">
        <w:rPr>
          <w:rFonts w:cs="Times New Roman"/>
          <w:bCs/>
        </w:rPr>
        <w:t xml:space="preserve">: </w:t>
      </w:r>
      <w:r>
        <w:rPr>
          <w:rFonts w:cs="Times New Roman"/>
          <w:bCs/>
        </w:rPr>
        <w:t xml:space="preserve">Jaime </w:t>
      </w:r>
      <w:proofErr w:type="spellStart"/>
      <w:r>
        <w:rPr>
          <w:rFonts w:cs="Times New Roman"/>
          <w:bCs/>
        </w:rPr>
        <w:t>Flamenbaum</w:t>
      </w:r>
      <w:proofErr w:type="spellEnd"/>
    </w:p>
    <w:p w:rsidR="00360444" w:rsidRPr="00F61066" w:rsidRDefault="00F61066" w:rsidP="00360444">
      <w:pPr>
        <w:jc w:val="center"/>
        <w:rPr>
          <w:rFonts w:cs="Times New Roman"/>
          <w:bCs/>
        </w:rPr>
      </w:pPr>
      <w:r>
        <w:rPr>
          <w:rFonts w:cs="Times New Roman"/>
        </w:rPr>
        <w:t xml:space="preserve">CIHR’s Innovative KT Strategies, </w:t>
      </w:r>
      <w:r w:rsidR="00360444" w:rsidRPr="00F61066">
        <w:rPr>
          <w:rFonts w:cs="Times New Roman"/>
        </w:rPr>
        <w:t xml:space="preserve">Session </w:t>
      </w:r>
      <w:r>
        <w:rPr>
          <w:rFonts w:cs="Times New Roman"/>
        </w:rPr>
        <w:t>2</w:t>
      </w:r>
      <w:r w:rsidR="00360444" w:rsidRPr="00F61066">
        <w:rPr>
          <w:rFonts w:cs="Times New Roman"/>
        </w:rPr>
        <w:t xml:space="preserve"> – August 2</w:t>
      </w:r>
      <w:r>
        <w:rPr>
          <w:rFonts w:cs="Times New Roman"/>
        </w:rPr>
        <w:t>1</w:t>
      </w:r>
      <w:r w:rsidR="00360444" w:rsidRPr="00F61066">
        <w:rPr>
          <w:rFonts w:cs="Times New Roman"/>
        </w:rPr>
        <w:t>, 2014</w:t>
      </w:r>
      <w:r w:rsidR="00360444" w:rsidRPr="00F61066">
        <w:rPr>
          <w:rFonts w:cs="Times New Roman"/>
        </w:rPr>
        <w:br/>
      </w:r>
    </w:p>
    <w:p w:rsidR="00360444" w:rsidRPr="00F61066" w:rsidRDefault="00360444" w:rsidP="00360444">
      <w:pPr>
        <w:rPr>
          <w:rFonts w:cs="Times New Roman"/>
        </w:rPr>
      </w:pPr>
      <w:proofErr w:type="gramStart"/>
      <w:r w:rsidRPr="00F61066">
        <w:rPr>
          <w:rFonts w:cs="Times New Roman"/>
          <w:bCs/>
        </w:rPr>
        <w:t xml:space="preserve">Text version of </w:t>
      </w:r>
      <w:r w:rsidRPr="00F61066">
        <w:rPr>
          <w:rFonts w:cs="Times New Roman"/>
        </w:rPr>
        <w:t>presentation for webinar sponsored by SEDL’s Center on Knowledge Translation for Disability and Rehabilitation Research.</w:t>
      </w:r>
      <w:proofErr w:type="gramEnd"/>
      <w:r w:rsidRPr="00F61066">
        <w:rPr>
          <w:rFonts w:cs="Times New Roman"/>
        </w:rPr>
        <w:t xml:space="preserve"> </w:t>
      </w:r>
    </w:p>
    <w:p w:rsidR="00360444" w:rsidRPr="00F61066" w:rsidRDefault="00360444" w:rsidP="00360444">
      <w:pPr>
        <w:rPr>
          <w:rFonts w:cs="Times New Roman"/>
        </w:rPr>
      </w:pPr>
      <w:r w:rsidRPr="00F61066">
        <w:rPr>
          <w:rFonts w:cs="Times New Roman"/>
        </w:rPr>
        <w:t>Webcast information: https://www.ktdrr.org/training/webcasts/webcasts14-17/15/index.html</w:t>
      </w:r>
    </w:p>
    <w:p w:rsidR="00360444" w:rsidRPr="00F61066" w:rsidRDefault="00360444" w:rsidP="00360444">
      <w:pPr>
        <w:rPr>
          <w:rFonts w:cs="Times New Roman"/>
        </w:rPr>
      </w:pPr>
    </w:p>
    <w:p w:rsidR="00360444" w:rsidRPr="00F61066" w:rsidRDefault="00360444" w:rsidP="00360444">
      <w:pPr>
        <w:rPr>
          <w:rFonts w:cs="Times New Roman"/>
          <w:bCs/>
        </w:rPr>
      </w:pPr>
      <w:r w:rsidRPr="00F61066">
        <w:rPr>
          <w:rFonts w:cs="Times New Roman"/>
        </w:rPr>
        <w:t xml:space="preserve">Slide template: </w:t>
      </w:r>
      <w:r w:rsidRPr="00F61066">
        <w:rPr>
          <w:rFonts w:cs="Times New Roman"/>
          <w:bCs/>
        </w:rPr>
        <w:t xml:space="preserve">Bar at top. </w:t>
      </w:r>
      <w:proofErr w:type="gramStart"/>
      <w:r w:rsidRPr="00F61066">
        <w:rPr>
          <w:rFonts w:cs="Times New Roman"/>
          <w:bCs/>
        </w:rPr>
        <w:t>On the left, Center on Knowledge Translation for Disability and Rehabilitation Research.</w:t>
      </w:r>
      <w:proofErr w:type="gramEnd"/>
      <w:r w:rsidRPr="00F61066">
        <w:rPr>
          <w:rFonts w:cs="Times New Roman"/>
          <w:bCs/>
        </w:rPr>
        <w:t xml:space="preserve"> On the right, </w:t>
      </w:r>
      <w:proofErr w:type="gramStart"/>
      <w:r w:rsidRPr="00F61066">
        <w:rPr>
          <w:rFonts w:cs="Times New Roman"/>
          <w:bCs/>
        </w:rPr>
        <w:t>A</w:t>
      </w:r>
      <w:proofErr w:type="gramEnd"/>
      <w:r w:rsidRPr="00F61066">
        <w:rPr>
          <w:rFonts w:cs="Times New Roman"/>
          <w:bCs/>
        </w:rPr>
        <w:t xml:space="preserve"> project of SEDL.</w:t>
      </w:r>
    </w:p>
    <w:p w:rsidR="00360444" w:rsidRPr="00F61066" w:rsidRDefault="00360444" w:rsidP="00360444">
      <w:pPr>
        <w:jc w:val="center"/>
        <w:rPr>
          <w:rFonts w:cs="Times New Roman"/>
          <w:bCs/>
        </w:rPr>
      </w:pPr>
    </w:p>
    <w:p w:rsidR="00360444" w:rsidRPr="00F61066" w:rsidRDefault="00360444" w:rsidP="00360444">
      <w:pPr>
        <w:rPr>
          <w:rFonts w:cs="Times New Roman"/>
          <w:bCs/>
        </w:rPr>
      </w:pPr>
      <w:r w:rsidRPr="00F61066">
        <w:rPr>
          <w:rFonts w:cs="Times New Roman"/>
          <w:bCs/>
        </w:rPr>
        <w:t xml:space="preserve">Slide 0: (Title)  </w:t>
      </w:r>
    </w:p>
    <w:p w:rsidR="00360444" w:rsidRPr="00F61066" w:rsidRDefault="00360444" w:rsidP="00360444">
      <w:pPr>
        <w:rPr>
          <w:rFonts w:cs="Times New Roman"/>
        </w:rPr>
      </w:pPr>
      <w:r w:rsidRPr="00F61066">
        <w:rPr>
          <w:rFonts w:cs="Times New Roman"/>
          <w:i/>
          <w:iCs/>
        </w:rPr>
        <w:t>Innovative KT Strategies from the Canadian Institutes of Health Research</w:t>
      </w:r>
    </w:p>
    <w:p w:rsidR="00360444" w:rsidRPr="00F61066" w:rsidRDefault="00360444" w:rsidP="00360444">
      <w:pPr>
        <w:rPr>
          <w:rFonts w:cs="Times New Roman"/>
          <w:bCs/>
        </w:rPr>
      </w:pPr>
      <w:r w:rsidRPr="00F61066">
        <w:rPr>
          <w:bCs/>
          <w:lang w:val="x-none"/>
        </w:rPr>
        <w:t xml:space="preserve">Ethics in Research: </w:t>
      </w:r>
      <w:r w:rsidRPr="00F61066">
        <w:rPr>
          <w:bCs/>
        </w:rPr>
        <w:t xml:space="preserve">A Science </w:t>
      </w:r>
      <w:r w:rsidRPr="00F61066">
        <w:rPr>
          <w:bCs/>
        </w:rPr>
        <w:br/>
        <w:t>Lifecycle Approach</w:t>
      </w:r>
    </w:p>
    <w:p w:rsidR="00360444" w:rsidRPr="00F61066" w:rsidRDefault="00360444" w:rsidP="00360444">
      <w:pPr>
        <w:rPr>
          <w:rFonts w:cs="Times New Roman"/>
          <w:bCs/>
        </w:rPr>
      </w:pPr>
      <w:r w:rsidRPr="00F61066">
        <w:rPr>
          <w:rFonts w:cs="Times New Roman"/>
          <w:bCs/>
          <w:i/>
          <w:iCs/>
        </w:rPr>
        <w:t xml:space="preserve">Jaime </w:t>
      </w:r>
      <w:proofErr w:type="spellStart"/>
      <w:r w:rsidRPr="00F61066">
        <w:rPr>
          <w:rFonts w:cs="Times New Roman"/>
          <w:bCs/>
          <w:i/>
          <w:iCs/>
        </w:rPr>
        <w:t>Flamenbaum</w:t>
      </w:r>
      <w:proofErr w:type="spellEnd"/>
    </w:p>
    <w:p w:rsidR="00360444" w:rsidRPr="00F61066" w:rsidRDefault="00360444" w:rsidP="00360444">
      <w:pPr>
        <w:rPr>
          <w:rFonts w:cs="Times New Roman"/>
          <w:bCs/>
        </w:rPr>
      </w:pPr>
      <w:r w:rsidRPr="00F61066">
        <w:rPr>
          <w:rFonts w:cs="Times New Roman"/>
          <w:bCs/>
        </w:rPr>
        <w:t>Canadian Institutes of Health Research</w:t>
      </w:r>
    </w:p>
    <w:p w:rsidR="00360444" w:rsidRPr="00F61066" w:rsidRDefault="00360444" w:rsidP="00360444">
      <w:pPr>
        <w:rPr>
          <w:rFonts w:cs="Times New Roman"/>
        </w:rPr>
      </w:pPr>
      <w:r w:rsidRPr="00F61066">
        <w:rPr>
          <w:rFonts w:cs="Times New Roman"/>
        </w:rPr>
        <w:t>800-266-1832   www.ktddr.org</w:t>
      </w:r>
    </w:p>
    <w:p w:rsidR="00360444" w:rsidRPr="00F61066" w:rsidRDefault="00360444" w:rsidP="00360444">
      <w:pPr>
        <w:rPr>
          <w:rFonts w:cs="Times New Roman"/>
        </w:rPr>
      </w:pPr>
      <w:r w:rsidRPr="00F61066">
        <w:rPr>
          <w:rFonts w:cs="Times New Roman"/>
        </w:rPr>
        <w:t xml:space="preserve">Funded by NIDRR, US Department of Education, PR# H133A120012. No part of this presentation may be reproduced or transmitted in any form or by any means, electronic or mechanical, including photocopy, recording, or any information storage and retrieval system, without permission in writing from SEDL (4700 Mueller Blvd., Austin, TX 78723), or by submitting an online copyright request form at www.sedl.org/about/copyright_request.html. Users may need to secure additional permissions from copyright holders whose work SEDL included after obtaining permission as noted to reproduce or adapt for this presentation. </w:t>
      </w:r>
    </w:p>
    <w:p w:rsidR="00360444" w:rsidRPr="00F61066" w:rsidRDefault="00360444" w:rsidP="00360444">
      <w:pPr>
        <w:rPr>
          <w:rFonts w:cs="Times New Roman"/>
        </w:rPr>
      </w:pPr>
      <w:proofErr w:type="gramStart"/>
      <w:r w:rsidRPr="00F61066">
        <w:rPr>
          <w:rFonts w:cs="Times New Roman"/>
        </w:rPr>
        <w:t>Copyright 2014 by SEDL.</w:t>
      </w:r>
      <w:proofErr w:type="gramEnd"/>
    </w:p>
    <w:p w:rsidR="00781CF9" w:rsidRPr="00F61066" w:rsidRDefault="00781CF9"/>
    <w:p w:rsidR="00360444" w:rsidRPr="00F61066" w:rsidRDefault="00360444">
      <w:r w:rsidRPr="00F61066">
        <w:t xml:space="preserve">Slide 1:  </w:t>
      </w:r>
      <w:r w:rsidRPr="00F61066">
        <w:rPr>
          <w:bCs/>
          <w:lang w:val="x-none"/>
        </w:rPr>
        <w:t xml:space="preserve">Ethics in Research: </w:t>
      </w:r>
      <w:r w:rsidRPr="00F61066">
        <w:rPr>
          <w:bCs/>
        </w:rPr>
        <w:t xml:space="preserve">A Science </w:t>
      </w:r>
      <w:r w:rsidRPr="00F61066">
        <w:rPr>
          <w:bCs/>
        </w:rPr>
        <w:br/>
        <w:t>Lifecycle Approach</w:t>
      </w:r>
    </w:p>
    <w:p w:rsidR="00360444" w:rsidRPr="00F61066" w:rsidRDefault="00360444" w:rsidP="00360444">
      <w:pPr>
        <w:rPr>
          <w:bCs/>
          <w:lang w:val="x-none"/>
        </w:rPr>
      </w:pPr>
    </w:p>
    <w:p w:rsidR="00360444" w:rsidRPr="00F61066" w:rsidRDefault="00360444" w:rsidP="00360444">
      <w:r w:rsidRPr="00F61066">
        <w:rPr>
          <w:bCs/>
          <w:lang w:val="x-none"/>
        </w:rPr>
        <w:t xml:space="preserve">Slide 2: </w:t>
      </w:r>
      <w:r w:rsidRPr="00F61066">
        <w:rPr>
          <w:bCs/>
        </w:rPr>
        <w:t>Canadian Institutes of Health Research</w:t>
      </w:r>
    </w:p>
    <w:p w:rsidR="00360444" w:rsidRPr="00F61066" w:rsidRDefault="00360444" w:rsidP="00360444">
      <w:pPr>
        <w:numPr>
          <w:ilvl w:val="0"/>
          <w:numId w:val="1"/>
        </w:numPr>
        <w:rPr>
          <w:bCs/>
        </w:rPr>
      </w:pPr>
      <w:r w:rsidRPr="00F61066">
        <w:rPr>
          <w:bCs/>
        </w:rPr>
        <w:t xml:space="preserve">Created in 2000, CIHR is the Government of Canada's health research investment agency. </w:t>
      </w:r>
    </w:p>
    <w:p w:rsidR="00360444" w:rsidRPr="00F61066" w:rsidRDefault="00360444" w:rsidP="00360444">
      <w:pPr>
        <w:numPr>
          <w:ilvl w:val="0"/>
          <w:numId w:val="1"/>
        </w:numPr>
        <w:rPr>
          <w:bCs/>
        </w:rPr>
      </w:pPr>
      <w:r w:rsidRPr="00F61066">
        <w:rPr>
          <w:bCs/>
        </w:rPr>
        <w:t>Its mission is to create new scientific knowledge and to enable its translation into improved health, more effective health services and products, and a strengthened Canadian health care system.</w:t>
      </w:r>
    </w:p>
    <w:p w:rsidR="00360444" w:rsidRPr="00F61066" w:rsidRDefault="00360444" w:rsidP="00360444">
      <w:pPr>
        <w:numPr>
          <w:ilvl w:val="0"/>
          <w:numId w:val="1"/>
        </w:numPr>
        <w:rPr>
          <w:bCs/>
        </w:rPr>
      </w:pPr>
      <w:r w:rsidRPr="00F61066">
        <w:rPr>
          <w:bCs/>
        </w:rPr>
        <w:t>Composed of 13 Institutes, CIHR provides leadership and support to health researchers and trainees across Canada.</w:t>
      </w:r>
    </w:p>
    <w:p w:rsidR="00360444" w:rsidRPr="00F61066" w:rsidRDefault="00360444" w:rsidP="00360444">
      <w:pPr>
        <w:rPr>
          <w:bCs/>
        </w:rPr>
      </w:pPr>
    </w:p>
    <w:p w:rsidR="00360444" w:rsidRPr="00F61066" w:rsidRDefault="00360444" w:rsidP="00360444">
      <w:r w:rsidRPr="00F61066">
        <w:rPr>
          <w:bCs/>
        </w:rPr>
        <w:t>Slide 3: Knowledge Translation at CIHR (1)</w:t>
      </w:r>
    </w:p>
    <w:p w:rsidR="00360444" w:rsidRPr="00F61066" w:rsidRDefault="00360444" w:rsidP="00360444">
      <w:pPr>
        <w:rPr>
          <w:bCs/>
        </w:rPr>
      </w:pPr>
      <w:r w:rsidRPr="00F61066">
        <w:rPr>
          <w:bCs/>
          <w:lang w:val="en-CA"/>
        </w:rPr>
        <w:t xml:space="preserve">Knowledge translation is a dynamic and iterative process that includes synthesis, dissemination, exchange and ethically sound application of knowledge to improve the </w:t>
      </w:r>
      <w:r w:rsidRPr="00F61066">
        <w:rPr>
          <w:bCs/>
          <w:lang w:val="en-CA"/>
        </w:rPr>
        <w:lastRenderedPageBreak/>
        <w:t>health of Canadians, provide more effective health services and products and strengthen the health care system.</w:t>
      </w:r>
    </w:p>
    <w:p w:rsidR="00360444" w:rsidRPr="00F61066" w:rsidRDefault="00360444" w:rsidP="00360444">
      <w:r w:rsidRPr="00F61066">
        <w:rPr>
          <w:bCs/>
        </w:rPr>
        <w:br/>
        <w:t>Slide 4: Knowledge Translation at CIHR (2)</w:t>
      </w:r>
    </w:p>
    <w:p w:rsidR="00360444" w:rsidRPr="00F61066" w:rsidRDefault="00360444" w:rsidP="00360444">
      <w:r w:rsidRPr="00F61066">
        <w:rPr>
          <w:lang w:val="en-CA"/>
        </w:rPr>
        <w:t>This process takes place within a complex system of interactions between researchers and knowledge users that may vary in intensity, complexity and level of engagement depending on the nature of the research and the findings as well as the needs of the particular knowledge user.</w:t>
      </w:r>
    </w:p>
    <w:p w:rsidR="00360444" w:rsidRPr="00F61066" w:rsidRDefault="00360444" w:rsidP="00360444"/>
    <w:p w:rsidR="00360444" w:rsidRPr="00F61066" w:rsidRDefault="00360444" w:rsidP="00360444">
      <w:r w:rsidRPr="00F61066">
        <w:t>Slide 5: In February 2013, the Journal of the American Medical Association published an article (February 11, 2013. doi</w:t>
      </w:r>
      <w:proofErr w:type="gramStart"/>
      <w:r w:rsidRPr="00F61066">
        <w:t>:10.1001</w:t>
      </w:r>
      <w:proofErr w:type="gramEnd"/>
      <w:r w:rsidRPr="00F61066">
        <w:t>/jamainternmed.2013.465) where the author describes his findings while searching for the best “deal” for a relative’s hip replacement.</w:t>
      </w:r>
    </w:p>
    <w:p w:rsidR="00360444" w:rsidRPr="00F61066" w:rsidRDefault="00360444" w:rsidP="00360444"/>
    <w:p w:rsidR="00360444" w:rsidRPr="00F61066" w:rsidRDefault="00360444" w:rsidP="00360444">
      <w:r w:rsidRPr="00F61066">
        <w:t xml:space="preserve">Slide 6: </w:t>
      </w:r>
      <w:r w:rsidRPr="00F61066">
        <w:rPr>
          <w:lang w:val="en-CA"/>
        </w:rPr>
        <w:t>Identify problem (whether from research or KT perspective)</w:t>
      </w:r>
    </w:p>
    <w:p w:rsidR="00360444" w:rsidRPr="00F61066" w:rsidRDefault="00360444" w:rsidP="00360444">
      <w:r w:rsidRPr="00F61066">
        <w:t>A box points to the title of the slide with this text: Influence of disciplinary and epistemological lens; influence of socio-political context; priority-setting; agenda-setting; stakeholder engagement; power; voice; agency; assessment of evidence; social responsibility to research...</w:t>
      </w:r>
    </w:p>
    <w:p w:rsidR="00360444" w:rsidRPr="00F61066" w:rsidRDefault="00360444" w:rsidP="00360444"/>
    <w:p w:rsidR="00360444" w:rsidRPr="00F61066" w:rsidRDefault="00360444" w:rsidP="00360444">
      <w:proofErr w:type="gramStart"/>
      <w:r w:rsidRPr="00F61066">
        <w:t>Image of an infinite sign with arrows pointing describing flow from one side of the image to the other.</w:t>
      </w:r>
      <w:proofErr w:type="gramEnd"/>
      <w:r w:rsidRPr="00F61066">
        <w:t xml:space="preserve"> The words “knowledge creation” are inside the left side of the infinite sign and “knowledge translation” </w:t>
      </w:r>
      <w:proofErr w:type="gramStart"/>
      <w:r w:rsidRPr="00F61066">
        <w:t>are</w:t>
      </w:r>
      <w:proofErr w:type="gramEnd"/>
      <w:r w:rsidRPr="00F61066">
        <w:t xml:space="preserve"> inside the right side of the infinite sign.</w:t>
      </w:r>
    </w:p>
    <w:p w:rsidR="00360444" w:rsidRPr="00F61066" w:rsidRDefault="00360444" w:rsidP="00360444"/>
    <w:p w:rsidR="00360444" w:rsidRPr="00F61066" w:rsidRDefault="00360444" w:rsidP="00360444">
      <w:r w:rsidRPr="00F61066">
        <w:t>Slide 7: Close up of the “knowledge creation” side of the image in the previous slide with enumerated steps of this process</w:t>
      </w:r>
      <w:r w:rsidR="00AE097D" w:rsidRPr="00F61066">
        <w:t xml:space="preserve"> going along the knowledge creation process</w:t>
      </w:r>
      <w:r w:rsidRPr="00F61066">
        <w:t>.</w:t>
      </w:r>
    </w:p>
    <w:p w:rsidR="00360444" w:rsidRPr="00F61066" w:rsidRDefault="00360444" w:rsidP="00360444">
      <w:pPr>
        <w:pStyle w:val="ListParagraph"/>
        <w:numPr>
          <w:ilvl w:val="0"/>
          <w:numId w:val="4"/>
        </w:numPr>
      </w:pPr>
      <w:r w:rsidRPr="00F61066">
        <w:t>Establish partnerships, choice of collaborators; equity; agency; influence</w:t>
      </w:r>
    </w:p>
    <w:p w:rsidR="00360444" w:rsidRPr="00F61066" w:rsidRDefault="00360444" w:rsidP="00360444">
      <w:pPr>
        <w:pStyle w:val="ListParagraph"/>
        <w:numPr>
          <w:ilvl w:val="0"/>
          <w:numId w:val="4"/>
        </w:numPr>
      </w:pPr>
      <w:r w:rsidRPr="00F61066">
        <w:t xml:space="preserve">Form research question, stakeholders; influencing contexts; </w:t>
      </w:r>
      <w:proofErr w:type="spellStart"/>
      <w:r w:rsidRPr="00F61066">
        <w:t>framint</w:t>
      </w:r>
      <w:proofErr w:type="spellEnd"/>
      <w:r w:rsidRPr="00F61066">
        <w:t>; theory</w:t>
      </w:r>
    </w:p>
    <w:p w:rsidR="00360444" w:rsidRPr="00F61066" w:rsidRDefault="00360444" w:rsidP="00360444">
      <w:pPr>
        <w:pStyle w:val="ListParagraph"/>
        <w:numPr>
          <w:ilvl w:val="0"/>
          <w:numId w:val="4"/>
        </w:numPr>
      </w:pPr>
      <w:r w:rsidRPr="00F61066">
        <w:t>Design project, resources/capacity; theory; methodology (scientific validity)</w:t>
      </w:r>
    </w:p>
    <w:p w:rsidR="00360444" w:rsidRPr="00F61066" w:rsidRDefault="00360444" w:rsidP="00360444">
      <w:pPr>
        <w:pStyle w:val="ListParagraph"/>
        <w:numPr>
          <w:ilvl w:val="0"/>
          <w:numId w:val="4"/>
        </w:numPr>
      </w:pPr>
      <w:r w:rsidRPr="00F61066">
        <w:t>Seek funding, choice of funder, obligations; public/private</w:t>
      </w:r>
    </w:p>
    <w:p w:rsidR="00360444" w:rsidRPr="00F61066" w:rsidRDefault="00360444" w:rsidP="00360444">
      <w:pPr>
        <w:pStyle w:val="ListParagraph"/>
        <w:numPr>
          <w:ilvl w:val="0"/>
          <w:numId w:val="4"/>
        </w:numPr>
      </w:pPr>
      <w:r w:rsidRPr="00F61066">
        <w:t>REB submission</w:t>
      </w:r>
    </w:p>
    <w:p w:rsidR="00360444" w:rsidRPr="00F61066" w:rsidRDefault="00360444" w:rsidP="00360444">
      <w:pPr>
        <w:pStyle w:val="ListParagraph"/>
        <w:numPr>
          <w:ilvl w:val="0"/>
          <w:numId w:val="4"/>
        </w:numPr>
      </w:pPr>
      <w:r w:rsidRPr="00F61066">
        <w:t>Recruit participants (if necessary)</w:t>
      </w:r>
    </w:p>
    <w:p w:rsidR="00360444" w:rsidRPr="00F61066" w:rsidRDefault="00360444" w:rsidP="00360444">
      <w:pPr>
        <w:pStyle w:val="ListParagraph"/>
        <w:numPr>
          <w:ilvl w:val="0"/>
          <w:numId w:val="4"/>
        </w:numPr>
      </w:pPr>
      <w:r w:rsidRPr="00F61066">
        <w:t>Collect data</w:t>
      </w:r>
    </w:p>
    <w:p w:rsidR="00360444" w:rsidRPr="00F61066" w:rsidRDefault="00360444" w:rsidP="00360444">
      <w:pPr>
        <w:pStyle w:val="ListParagraph"/>
        <w:numPr>
          <w:ilvl w:val="2"/>
          <w:numId w:val="4"/>
        </w:numPr>
      </w:pPr>
      <w:r w:rsidRPr="00F61066">
        <w:t>For 5,6,7- protection of subjects; privacy; informed consent; data stewardship COI; etc.</w:t>
      </w:r>
    </w:p>
    <w:p w:rsidR="00360444" w:rsidRPr="00F61066" w:rsidRDefault="00360444" w:rsidP="00360444">
      <w:pPr>
        <w:pStyle w:val="ListParagraph"/>
        <w:numPr>
          <w:ilvl w:val="0"/>
          <w:numId w:val="4"/>
        </w:numPr>
      </w:pPr>
      <w:proofErr w:type="spellStart"/>
      <w:r w:rsidRPr="00F61066">
        <w:t>Analyse</w:t>
      </w:r>
      <w:proofErr w:type="spellEnd"/>
      <w:r w:rsidRPr="00F61066">
        <w:t xml:space="preserve"> data, methodological choices (ex: analytical framework); role of collaborators in data interpretation</w:t>
      </w:r>
    </w:p>
    <w:p w:rsidR="00360444" w:rsidRPr="00F61066" w:rsidRDefault="00AE097D" w:rsidP="00360444">
      <w:pPr>
        <w:pStyle w:val="ListParagraph"/>
        <w:numPr>
          <w:ilvl w:val="0"/>
          <w:numId w:val="4"/>
        </w:numPr>
      </w:pPr>
      <w:r w:rsidRPr="00F61066">
        <w:t>Draw conclusions- implications for individuals, groups and populations (including equity issues) COI</w:t>
      </w:r>
    </w:p>
    <w:p w:rsidR="00AE097D" w:rsidRPr="00F61066" w:rsidRDefault="00AE097D" w:rsidP="00360444">
      <w:pPr>
        <w:pStyle w:val="ListParagraph"/>
        <w:numPr>
          <w:ilvl w:val="0"/>
          <w:numId w:val="4"/>
        </w:numPr>
      </w:pPr>
      <w:r w:rsidRPr="00F61066">
        <w:t>Publish results, authorship; choice of venue, publication bias; negative results (blind spot)</w:t>
      </w:r>
    </w:p>
    <w:p w:rsidR="00AE097D" w:rsidRPr="00F61066" w:rsidRDefault="00AE097D" w:rsidP="00360444">
      <w:pPr>
        <w:pStyle w:val="ListParagraph"/>
        <w:numPr>
          <w:ilvl w:val="0"/>
          <w:numId w:val="4"/>
        </w:numPr>
      </w:pPr>
      <w:r w:rsidRPr="00F61066">
        <w:t>Toward KT of results, selection of evidence</w:t>
      </w:r>
    </w:p>
    <w:p w:rsidR="00360444" w:rsidRPr="00F61066" w:rsidRDefault="00360444" w:rsidP="00AE097D">
      <w:pPr>
        <w:pStyle w:val="ListParagraph"/>
        <w:ind w:left="2160"/>
      </w:pPr>
    </w:p>
    <w:p w:rsidR="00360444" w:rsidRPr="00F61066" w:rsidRDefault="00AE097D" w:rsidP="00360444">
      <w:r w:rsidRPr="00F61066">
        <w:t>Slide 9: A close up image of the right side of the image depicted on slide 6. This slide has the words, “Knowledge Translation (based on Graham et al., 2006) in the center. Steps of this process are enumerated along the continuum.</w:t>
      </w:r>
    </w:p>
    <w:p w:rsidR="00AE097D" w:rsidRPr="00F61066" w:rsidRDefault="00AE097D" w:rsidP="00AE097D">
      <w:pPr>
        <w:pStyle w:val="ListParagraph"/>
        <w:numPr>
          <w:ilvl w:val="0"/>
          <w:numId w:val="5"/>
        </w:numPr>
      </w:pPr>
      <w:r w:rsidRPr="00F61066">
        <w:t>Review and select knowledge- KT theory; publication bias; data access; intellectual property; neg. results (blind spot)</w:t>
      </w:r>
    </w:p>
    <w:p w:rsidR="00AE097D" w:rsidRPr="00F61066" w:rsidRDefault="00AE097D" w:rsidP="00AE097D">
      <w:pPr>
        <w:pStyle w:val="ListParagraph"/>
        <w:numPr>
          <w:ilvl w:val="0"/>
          <w:numId w:val="5"/>
        </w:numPr>
      </w:pPr>
      <w:r w:rsidRPr="00F61066">
        <w:t>Adapt knowledge to context- local knowledge; voice; power; agency</w:t>
      </w:r>
    </w:p>
    <w:p w:rsidR="00AE097D" w:rsidRPr="00F61066" w:rsidRDefault="00AE097D" w:rsidP="00AE097D">
      <w:pPr>
        <w:pStyle w:val="ListParagraph"/>
        <w:numPr>
          <w:ilvl w:val="0"/>
          <w:numId w:val="5"/>
        </w:numPr>
      </w:pPr>
      <w:r w:rsidRPr="00F61066">
        <w:t>Access, barriers to use- equity, access issues</w:t>
      </w:r>
    </w:p>
    <w:p w:rsidR="00AE097D" w:rsidRPr="00F61066" w:rsidRDefault="00AE097D" w:rsidP="00AE097D">
      <w:pPr>
        <w:pStyle w:val="ListParagraph"/>
        <w:numPr>
          <w:ilvl w:val="0"/>
          <w:numId w:val="5"/>
        </w:numPr>
      </w:pPr>
      <w:r w:rsidRPr="00F61066">
        <w:t>Apply knowledge (intervention)- Resource allocation; equity; opportunity costs; intellectual property</w:t>
      </w:r>
    </w:p>
    <w:p w:rsidR="00AE097D" w:rsidRPr="00F61066" w:rsidRDefault="00AE097D" w:rsidP="00AE097D">
      <w:pPr>
        <w:pStyle w:val="ListParagraph"/>
        <w:numPr>
          <w:ilvl w:val="0"/>
          <w:numId w:val="5"/>
        </w:numPr>
      </w:pPr>
      <w:r w:rsidRPr="00F61066">
        <w:t>Monitor knowledge use- potential COI, roles, responsibilities</w:t>
      </w:r>
    </w:p>
    <w:p w:rsidR="00AE097D" w:rsidRPr="00F61066" w:rsidRDefault="00AE097D" w:rsidP="00AE097D">
      <w:pPr>
        <w:pStyle w:val="ListParagraph"/>
        <w:numPr>
          <w:ilvl w:val="0"/>
          <w:numId w:val="5"/>
        </w:numPr>
      </w:pPr>
      <w:r w:rsidRPr="00F61066">
        <w:t>Evaluate application of knowledge (intervention) – criteria-setting, potential COI</w:t>
      </w:r>
    </w:p>
    <w:p w:rsidR="00AE097D" w:rsidRPr="00F61066" w:rsidRDefault="00F61066" w:rsidP="00AE097D">
      <w:pPr>
        <w:pStyle w:val="ListParagraph"/>
        <w:numPr>
          <w:ilvl w:val="0"/>
          <w:numId w:val="5"/>
        </w:numPr>
      </w:pPr>
      <w:r w:rsidRPr="00F61066">
        <w:t>Sustain knowledge use- “ethics of sustainability’ concerns: capacity –building; robustness; opportunity costs…</w:t>
      </w:r>
    </w:p>
    <w:p w:rsidR="00F61066" w:rsidRPr="00F61066" w:rsidRDefault="00F61066" w:rsidP="00AE097D">
      <w:pPr>
        <w:pStyle w:val="ListParagraph"/>
        <w:numPr>
          <w:ilvl w:val="0"/>
          <w:numId w:val="5"/>
        </w:numPr>
      </w:pPr>
      <w:r w:rsidRPr="00F61066">
        <w:t>Toward next generation research (based on KT experience)</w:t>
      </w:r>
    </w:p>
    <w:p w:rsidR="00F61066" w:rsidRPr="00F61066" w:rsidRDefault="00F61066" w:rsidP="00F61066">
      <w:pPr>
        <w:ind w:left="360"/>
      </w:pPr>
      <w:r w:rsidRPr="00F61066">
        <w:t xml:space="preserve">8b. </w:t>
      </w:r>
      <w:proofErr w:type="gramStart"/>
      <w:r w:rsidRPr="00F61066">
        <w:t>Toward</w:t>
      </w:r>
      <w:proofErr w:type="gramEnd"/>
      <w:r w:rsidRPr="00F61066">
        <w:t xml:space="preserve"> continued KT- Justification; resource allocation</w:t>
      </w:r>
    </w:p>
    <w:p w:rsidR="00F61066" w:rsidRPr="00F61066" w:rsidRDefault="00F61066" w:rsidP="00360444">
      <w:pPr>
        <w:rPr>
          <w:lang w:val="en-CA"/>
        </w:rPr>
      </w:pPr>
    </w:p>
    <w:p w:rsidR="00360444" w:rsidRPr="00F61066" w:rsidRDefault="00360444" w:rsidP="00360444">
      <w:r w:rsidRPr="00F61066">
        <w:rPr>
          <w:lang w:val="en-CA"/>
        </w:rPr>
        <w:t>Slide 10: Contact Information</w:t>
      </w:r>
    </w:p>
    <w:p w:rsidR="00360444" w:rsidRPr="00F61066" w:rsidRDefault="00360444" w:rsidP="00360444">
      <w:r w:rsidRPr="00F61066">
        <w:rPr>
          <w:bCs/>
        </w:rPr>
        <w:t xml:space="preserve">Jaime </w:t>
      </w:r>
      <w:proofErr w:type="spellStart"/>
      <w:r w:rsidRPr="00F61066">
        <w:rPr>
          <w:bCs/>
        </w:rPr>
        <w:t>Flamenbaum</w:t>
      </w:r>
      <w:proofErr w:type="spellEnd"/>
    </w:p>
    <w:p w:rsidR="00360444" w:rsidRPr="00F61066" w:rsidRDefault="00360444" w:rsidP="00360444">
      <w:r w:rsidRPr="00F61066">
        <w:rPr>
          <w:bCs/>
        </w:rPr>
        <w:tab/>
        <w:t>Senior Ethics Policy Advisor</w:t>
      </w:r>
    </w:p>
    <w:p w:rsidR="00360444" w:rsidRPr="00F61066" w:rsidRDefault="00360444" w:rsidP="00360444">
      <w:r w:rsidRPr="00F61066">
        <w:rPr>
          <w:bCs/>
        </w:rPr>
        <w:tab/>
      </w:r>
      <w:proofErr w:type="gramStart"/>
      <w:r w:rsidRPr="00F61066">
        <w:rPr>
          <w:bCs/>
        </w:rPr>
        <w:t>jaime.flamenbaum@cihr</w:t>
      </w:r>
      <w:proofErr w:type="gramEnd"/>
      <w:r w:rsidRPr="00F61066">
        <w:rPr>
          <w:bCs/>
        </w:rPr>
        <w:t>-irsc.gc.ca</w:t>
      </w:r>
    </w:p>
    <w:p w:rsidR="00360444" w:rsidRPr="00F61066" w:rsidRDefault="00360444" w:rsidP="00360444">
      <w:r w:rsidRPr="00F61066">
        <w:tab/>
      </w:r>
    </w:p>
    <w:p w:rsidR="00360444" w:rsidRPr="00F61066" w:rsidRDefault="00360444" w:rsidP="00360444">
      <w:r w:rsidRPr="00F61066">
        <w:t>Slide 11: Thank you</w:t>
      </w:r>
    </w:p>
    <w:p w:rsidR="00360444" w:rsidRPr="00F61066" w:rsidRDefault="00360444" w:rsidP="00360444">
      <w:r w:rsidRPr="00F61066">
        <w:rPr>
          <w:i/>
          <w:iCs/>
        </w:rPr>
        <w:t>This webcast is part of a series produced in cooperation with our colleagues at the Canadian Institutes of Health Research - CIHR</w:t>
      </w:r>
    </w:p>
    <w:p w:rsidR="00360444" w:rsidRPr="00F61066" w:rsidRDefault="00360444" w:rsidP="00360444">
      <w:r w:rsidRPr="00F61066">
        <w:t xml:space="preserve">SEDL’s Center on Knowledge Translation for </w:t>
      </w:r>
    </w:p>
    <w:p w:rsidR="00360444" w:rsidRPr="00F61066" w:rsidRDefault="00360444" w:rsidP="00360444">
      <w:r w:rsidRPr="00F61066">
        <w:t>Disability and Rehabilitation Research (KTDRR)</w:t>
      </w:r>
    </w:p>
    <w:p w:rsidR="00360444" w:rsidRPr="00F61066" w:rsidRDefault="00360444" w:rsidP="00360444">
      <w:r w:rsidRPr="00F61066">
        <w:t>Web: https://www.ktdrr.org</w:t>
      </w:r>
    </w:p>
    <w:p w:rsidR="00360444" w:rsidRPr="00F61066" w:rsidRDefault="00360444" w:rsidP="00360444">
      <w:r w:rsidRPr="00F61066">
        <w:t>Email: ktdrr@air.org</w:t>
      </w:r>
    </w:p>
    <w:p w:rsidR="00360444" w:rsidRPr="00F61066" w:rsidRDefault="00360444" w:rsidP="00360444">
      <w:r w:rsidRPr="00F61066">
        <w:rPr>
          <w:bCs/>
          <w:i/>
          <w:iCs/>
        </w:rPr>
        <w:t>Please complete the brief evaluation form:</w:t>
      </w:r>
    </w:p>
    <w:p w:rsidR="00360444" w:rsidRPr="00F61066" w:rsidRDefault="00360444" w:rsidP="00360444">
      <w:r w:rsidRPr="00F61066">
        <w:rPr>
          <w:bCs/>
          <w:i/>
          <w:iCs/>
        </w:rPr>
        <w:t>http://www.surveygizmo.com/s3/1686113/CIHR-Ethics</w:t>
      </w:r>
    </w:p>
    <w:p w:rsidR="00360444" w:rsidRPr="00F61066" w:rsidRDefault="00360444" w:rsidP="00360444"/>
    <w:p w:rsidR="00360444" w:rsidRPr="00F61066" w:rsidRDefault="00360444" w:rsidP="00360444">
      <w:r w:rsidRPr="00F61066">
        <w:t>Slide 12: Disclaimer</w:t>
      </w:r>
    </w:p>
    <w:p w:rsidR="00360444" w:rsidRPr="00F61066" w:rsidRDefault="00360444" w:rsidP="00360444">
      <w:r w:rsidRPr="00F61066">
        <w:t>This presentation was developed for grant number H133A120012 from the National Institute on Disability, Independent Living, and Rehabilitation Research (NIDILRR), Office of Special Education and Rehabilitative Services (OSERS), U.S. Department of Education. However, the contents do not necessarily represent the policy of the Department of Education, and you should not assume endorsement by the federal government.</w:t>
      </w:r>
    </w:p>
    <w:p w:rsidR="00360444" w:rsidRPr="00F61066" w:rsidRDefault="00360444"/>
    <w:sectPr w:rsidR="00360444" w:rsidRPr="00F61066" w:rsidSect="000377C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385"/>
    <w:multiLevelType w:val="hybridMultilevel"/>
    <w:tmpl w:val="59162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1C28FE"/>
    <w:multiLevelType w:val="hybridMultilevel"/>
    <w:tmpl w:val="2EBE91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5C109D9"/>
    <w:multiLevelType w:val="hybridMultilevel"/>
    <w:tmpl w:val="D0BC6F14"/>
    <w:lvl w:ilvl="0" w:tplc="B608CE10">
      <w:start w:val="1"/>
      <w:numFmt w:val="bullet"/>
      <w:lvlText w:val="•"/>
      <w:lvlJc w:val="left"/>
      <w:pPr>
        <w:tabs>
          <w:tab w:val="num" w:pos="720"/>
        </w:tabs>
        <w:ind w:left="720" w:hanging="360"/>
      </w:pPr>
      <w:rPr>
        <w:rFonts w:ascii="Times" w:hAnsi="Times" w:hint="default"/>
      </w:rPr>
    </w:lvl>
    <w:lvl w:ilvl="1" w:tplc="F41426A4" w:tentative="1">
      <w:start w:val="1"/>
      <w:numFmt w:val="bullet"/>
      <w:lvlText w:val="•"/>
      <w:lvlJc w:val="left"/>
      <w:pPr>
        <w:tabs>
          <w:tab w:val="num" w:pos="1440"/>
        </w:tabs>
        <w:ind w:left="1440" w:hanging="360"/>
      </w:pPr>
      <w:rPr>
        <w:rFonts w:ascii="Times" w:hAnsi="Times" w:hint="default"/>
      </w:rPr>
    </w:lvl>
    <w:lvl w:ilvl="2" w:tplc="DFE85708" w:tentative="1">
      <w:start w:val="1"/>
      <w:numFmt w:val="bullet"/>
      <w:lvlText w:val="•"/>
      <w:lvlJc w:val="left"/>
      <w:pPr>
        <w:tabs>
          <w:tab w:val="num" w:pos="2160"/>
        </w:tabs>
        <w:ind w:left="2160" w:hanging="360"/>
      </w:pPr>
      <w:rPr>
        <w:rFonts w:ascii="Times" w:hAnsi="Times" w:hint="default"/>
      </w:rPr>
    </w:lvl>
    <w:lvl w:ilvl="3" w:tplc="65641D14" w:tentative="1">
      <w:start w:val="1"/>
      <w:numFmt w:val="bullet"/>
      <w:lvlText w:val="•"/>
      <w:lvlJc w:val="left"/>
      <w:pPr>
        <w:tabs>
          <w:tab w:val="num" w:pos="2880"/>
        </w:tabs>
        <w:ind w:left="2880" w:hanging="360"/>
      </w:pPr>
      <w:rPr>
        <w:rFonts w:ascii="Times" w:hAnsi="Times" w:hint="default"/>
      </w:rPr>
    </w:lvl>
    <w:lvl w:ilvl="4" w:tplc="FA88F0E6" w:tentative="1">
      <w:start w:val="1"/>
      <w:numFmt w:val="bullet"/>
      <w:lvlText w:val="•"/>
      <w:lvlJc w:val="left"/>
      <w:pPr>
        <w:tabs>
          <w:tab w:val="num" w:pos="3600"/>
        </w:tabs>
        <w:ind w:left="3600" w:hanging="360"/>
      </w:pPr>
      <w:rPr>
        <w:rFonts w:ascii="Times" w:hAnsi="Times" w:hint="default"/>
      </w:rPr>
    </w:lvl>
    <w:lvl w:ilvl="5" w:tplc="4B2428E6" w:tentative="1">
      <w:start w:val="1"/>
      <w:numFmt w:val="bullet"/>
      <w:lvlText w:val="•"/>
      <w:lvlJc w:val="left"/>
      <w:pPr>
        <w:tabs>
          <w:tab w:val="num" w:pos="4320"/>
        </w:tabs>
        <w:ind w:left="4320" w:hanging="360"/>
      </w:pPr>
      <w:rPr>
        <w:rFonts w:ascii="Times" w:hAnsi="Times" w:hint="default"/>
      </w:rPr>
    </w:lvl>
    <w:lvl w:ilvl="6" w:tplc="485EC5CC" w:tentative="1">
      <w:start w:val="1"/>
      <w:numFmt w:val="bullet"/>
      <w:lvlText w:val="•"/>
      <w:lvlJc w:val="left"/>
      <w:pPr>
        <w:tabs>
          <w:tab w:val="num" w:pos="5040"/>
        </w:tabs>
        <w:ind w:left="5040" w:hanging="360"/>
      </w:pPr>
      <w:rPr>
        <w:rFonts w:ascii="Times" w:hAnsi="Times" w:hint="default"/>
      </w:rPr>
    </w:lvl>
    <w:lvl w:ilvl="7" w:tplc="D75EE0E6" w:tentative="1">
      <w:start w:val="1"/>
      <w:numFmt w:val="bullet"/>
      <w:lvlText w:val="•"/>
      <w:lvlJc w:val="left"/>
      <w:pPr>
        <w:tabs>
          <w:tab w:val="num" w:pos="5760"/>
        </w:tabs>
        <w:ind w:left="5760" w:hanging="360"/>
      </w:pPr>
      <w:rPr>
        <w:rFonts w:ascii="Times" w:hAnsi="Times" w:hint="default"/>
      </w:rPr>
    </w:lvl>
    <w:lvl w:ilvl="8" w:tplc="5114F88A" w:tentative="1">
      <w:start w:val="1"/>
      <w:numFmt w:val="bullet"/>
      <w:lvlText w:val="•"/>
      <w:lvlJc w:val="left"/>
      <w:pPr>
        <w:tabs>
          <w:tab w:val="num" w:pos="6480"/>
        </w:tabs>
        <w:ind w:left="6480" w:hanging="360"/>
      </w:pPr>
      <w:rPr>
        <w:rFonts w:ascii="Times" w:hAnsi="Times" w:hint="default"/>
      </w:rPr>
    </w:lvl>
  </w:abstractNum>
  <w:abstractNum w:abstractNumId="3">
    <w:nsid w:val="2C853467"/>
    <w:multiLevelType w:val="hybridMultilevel"/>
    <w:tmpl w:val="1E923AA6"/>
    <w:lvl w:ilvl="0" w:tplc="59B27A58">
      <w:start w:val="1"/>
      <w:numFmt w:val="bullet"/>
      <w:lvlText w:val="•"/>
      <w:lvlJc w:val="left"/>
      <w:pPr>
        <w:tabs>
          <w:tab w:val="num" w:pos="720"/>
        </w:tabs>
        <w:ind w:left="720" w:hanging="360"/>
      </w:pPr>
      <w:rPr>
        <w:rFonts w:ascii="Arial" w:hAnsi="Arial" w:hint="default"/>
      </w:rPr>
    </w:lvl>
    <w:lvl w:ilvl="1" w:tplc="09707B6E" w:tentative="1">
      <w:start w:val="1"/>
      <w:numFmt w:val="bullet"/>
      <w:lvlText w:val="•"/>
      <w:lvlJc w:val="left"/>
      <w:pPr>
        <w:tabs>
          <w:tab w:val="num" w:pos="1440"/>
        </w:tabs>
        <w:ind w:left="1440" w:hanging="360"/>
      </w:pPr>
      <w:rPr>
        <w:rFonts w:ascii="Arial" w:hAnsi="Arial" w:hint="default"/>
      </w:rPr>
    </w:lvl>
    <w:lvl w:ilvl="2" w:tplc="B6FA05BA" w:tentative="1">
      <w:start w:val="1"/>
      <w:numFmt w:val="bullet"/>
      <w:lvlText w:val="•"/>
      <w:lvlJc w:val="left"/>
      <w:pPr>
        <w:tabs>
          <w:tab w:val="num" w:pos="2160"/>
        </w:tabs>
        <w:ind w:left="2160" w:hanging="360"/>
      </w:pPr>
      <w:rPr>
        <w:rFonts w:ascii="Arial" w:hAnsi="Arial" w:hint="default"/>
      </w:rPr>
    </w:lvl>
    <w:lvl w:ilvl="3" w:tplc="FB56DE68" w:tentative="1">
      <w:start w:val="1"/>
      <w:numFmt w:val="bullet"/>
      <w:lvlText w:val="•"/>
      <w:lvlJc w:val="left"/>
      <w:pPr>
        <w:tabs>
          <w:tab w:val="num" w:pos="2880"/>
        </w:tabs>
        <w:ind w:left="2880" w:hanging="360"/>
      </w:pPr>
      <w:rPr>
        <w:rFonts w:ascii="Arial" w:hAnsi="Arial" w:hint="default"/>
      </w:rPr>
    </w:lvl>
    <w:lvl w:ilvl="4" w:tplc="E3607812" w:tentative="1">
      <w:start w:val="1"/>
      <w:numFmt w:val="bullet"/>
      <w:lvlText w:val="•"/>
      <w:lvlJc w:val="left"/>
      <w:pPr>
        <w:tabs>
          <w:tab w:val="num" w:pos="3600"/>
        </w:tabs>
        <w:ind w:left="3600" w:hanging="360"/>
      </w:pPr>
      <w:rPr>
        <w:rFonts w:ascii="Arial" w:hAnsi="Arial" w:hint="default"/>
      </w:rPr>
    </w:lvl>
    <w:lvl w:ilvl="5" w:tplc="A60A45BA" w:tentative="1">
      <w:start w:val="1"/>
      <w:numFmt w:val="bullet"/>
      <w:lvlText w:val="•"/>
      <w:lvlJc w:val="left"/>
      <w:pPr>
        <w:tabs>
          <w:tab w:val="num" w:pos="4320"/>
        </w:tabs>
        <w:ind w:left="4320" w:hanging="360"/>
      </w:pPr>
      <w:rPr>
        <w:rFonts w:ascii="Arial" w:hAnsi="Arial" w:hint="default"/>
      </w:rPr>
    </w:lvl>
    <w:lvl w:ilvl="6" w:tplc="50007244" w:tentative="1">
      <w:start w:val="1"/>
      <w:numFmt w:val="bullet"/>
      <w:lvlText w:val="•"/>
      <w:lvlJc w:val="left"/>
      <w:pPr>
        <w:tabs>
          <w:tab w:val="num" w:pos="5040"/>
        </w:tabs>
        <w:ind w:left="5040" w:hanging="360"/>
      </w:pPr>
      <w:rPr>
        <w:rFonts w:ascii="Arial" w:hAnsi="Arial" w:hint="default"/>
      </w:rPr>
    </w:lvl>
    <w:lvl w:ilvl="7" w:tplc="FF24BC4A" w:tentative="1">
      <w:start w:val="1"/>
      <w:numFmt w:val="bullet"/>
      <w:lvlText w:val="•"/>
      <w:lvlJc w:val="left"/>
      <w:pPr>
        <w:tabs>
          <w:tab w:val="num" w:pos="5760"/>
        </w:tabs>
        <w:ind w:left="5760" w:hanging="360"/>
      </w:pPr>
      <w:rPr>
        <w:rFonts w:ascii="Arial" w:hAnsi="Arial" w:hint="default"/>
      </w:rPr>
    </w:lvl>
    <w:lvl w:ilvl="8" w:tplc="F1061BA8" w:tentative="1">
      <w:start w:val="1"/>
      <w:numFmt w:val="bullet"/>
      <w:lvlText w:val="•"/>
      <w:lvlJc w:val="left"/>
      <w:pPr>
        <w:tabs>
          <w:tab w:val="num" w:pos="6480"/>
        </w:tabs>
        <w:ind w:left="6480" w:hanging="360"/>
      </w:pPr>
      <w:rPr>
        <w:rFonts w:ascii="Arial" w:hAnsi="Arial" w:hint="default"/>
      </w:rPr>
    </w:lvl>
  </w:abstractNum>
  <w:abstractNum w:abstractNumId="4">
    <w:nsid w:val="79644A56"/>
    <w:multiLevelType w:val="hybridMultilevel"/>
    <w:tmpl w:val="29725FDE"/>
    <w:lvl w:ilvl="0" w:tplc="366679AA">
      <w:start w:val="1"/>
      <w:numFmt w:val="bullet"/>
      <w:lvlText w:val="•"/>
      <w:lvlJc w:val="left"/>
      <w:pPr>
        <w:tabs>
          <w:tab w:val="num" w:pos="720"/>
        </w:tabs>
        <w:ind w:left="720" w:hanging="360"/>
      </w:pPr>
      <w:rPr>
        <w:rFonts w:ascii="Times" w:hAnsi="Times" w:hint="default"/>
      </w:rPr>
    </w:lvl>
    <w:lvl w:ilvl="1" w:tplc="D21AAF28" w:tentative="1">
      <w:start w:val="1"/>
      <w:numFmt w:val="bullet"/>
      <w:lvlText w:val="•"/>
      <w:lvlJc w:val="left"/>
      <w:pPr>
        <w:tabs>
          <w:tab w:val="num" w:pos="1440"/>
        </w:tabs>
        <w:ind w:left="1440" w:hanging="360"/>
      </w:pPr>
      <w:rPr>
        <w:rFonts w:ascii="Times" w:hAnsi="Times" w:hint="default"/>
      </w:rPr>
    </w:lvl>
    <w:lvl w:ilvl="2" w:tplc="FEB64266" w:tentative="1">
      <w:start w:val="1"/>
      <w:numFmt w:val="bullet"/>
      <w:lvlText w:val="•"/>
      <w:lvlJc w:val="left"/>
      <w:pPr>
        <w:tabs>
          <w:tab w:val="num" w:pos="2160"/>
        </w:tabs>
        <w:ind w:left="2160" w:hanging="360"/>
      </w:pPr>
      <w:rPr>
        <w:rFonts w:ascii="Times" w:hAnsi="Times" w:hint="default"/>
      </w:rPr>
    </w:lvl>
    <w:lvl w:ilvl="3" w:tplc="D62864FA" w:tentative="1">
      <w:start w:val="1"/>
      <w:numFmt w:val="bullet"/>
      <w:lvlText w:val="•"/>
      <w:lvlJc w:val="left"/>
      <w:pPr>
        <w:tabs>
          <w:tab w:val="num" w:pos="2880"/>
        </w:tabs>
        <w:ind w:left="2880" w:hanging="360"/>
      </w:pPr>
      <w:rPr>
        <w:rFonts w:ascii="Times" w:hAnsi="Times" w:hint="default"/>
      </w:rPr>
    </w:lvl>
    <w:lvl w:ilvl="4" w:tplc="6410306A" w:tentative="1">
      <w:start w:val="1"/>
      <w:numFmt w:val="bullet"/>
      <w:lvlText w:val="•"/>
      <w:lvlJc w:val="left"/>
      <w:pPr>
        <w:tabs>
          <w:tab w:val="num" w:pos="3600"/>
        </w:tabs>
        <w:ind w:left="3600" w:hanging="360"/>
      </w:pPr>
      <w:rPr>
        <w:rFonts w:ascii="Times" w:hAnsi="Times" w:hint="default"/>
      </w:rPr>
    </w:lvl>
    <w:lvl w:ilvl="5" w:tplc="9E301546" w:tentative="1">
      <w:start w:val="1"/>
      <w:numFmt w:val="bullet"/>
      <w:lvlText w:val="•"/>
      <w:lvlJc w:val="left"/>
      <w:pPr>
        <w:tabs>
          <w:tab w:val="num" w:pos="4320"/>
        </w:tabs>
        <w:ind w:left="4320" w:hanging="360"/>
      </w:pPr>
      <w:rPr>
        <w:rFonts w:ascii="Times" w:hAnsi="Times" w:hint="default"/>
      </w:rPr>
    </w:lvl>
    <w:lvl w:ilvl="6" w:tplc="7EBA2486" w:tentative="1">
      <w:start w:val="1"/>
      <w:numFmt w:val="bullet"/>
      <w:lvlText w:val="•"/>
      <w:lvlJc w:val="left"/>
      <w:pPr>
        <w:tabs>
          <w:tab w:val="num" w:pos="5040"/>
        </w:tabs>
        <w:ind w:left="5040" w:hanging="360"/>
      </w:pPr>
      <w:rPr>
        <w:rFonts w:ascii="Times" w:hAnsi="Times" w:hint="default"/>
      </w:rPr>
    </w:lvl>
    <w:lvl w:ilvl="7" w:tplc="7B6A22B2" w:tentative="1">
      <w:start w:val="1"/>
      <w:numFmt w:val="bullet"/>
      <w:lvlText w:val="•"/>
      <w:lvlJc w:val="left"/>
      <w:pPr>
        <w:tabs>
          <w:tab w:val="num" w:pos="5760"/>
        </w:tabs>
        <w:ind w:left="5760" w:hanging="360"/>
      </w:pPr>
      <w:rPr>
        <w:rFonts w:ascii="Times" w:hAnsi="Times" w:hint="default"/>
      </w:rPr>
    </w:lvl>
    <w:lvl w:ilvl="8" w:tplc="8C9E2428" w:tentative="1">
      <w:start w:val="1"/>
      <w:numFmt w:val="bullet"/>
      <w:lvlText w:val="•"/>
      <w:lvlJc w:val="left"/>
      <w:pPr>
        <w:tabs>
          <w:tab w:val="num" w:pos="6480"/>
        </w:tabs>
        <w:ind w:left="6480" w:hanging="360"/>
      </w:pPr>
      <w:rPr>
        <w:rFonts w:ascii="Times" w:hAnsi="Time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44"/>
    <w:rsid w:val="000377CA"/>
    <w:rsid w:val="000A111B"/>
    <w:rsid w:val="00360444"/>
    <w:rsid w:val="00781CF9"/>
    <w:rsid w:val="00AE097D"/>
    <w:rsid w:val="00F61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30C8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4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36044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044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444"/>
    <w:rPr>
      <w:rFonts w:ascii="Times New Roman" w:hAnsi="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11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A111B"/>
    <w:rPr>
      <w:rFonts w:ascii="Lucida Grande" w:hAnsi="Lucida Grande" w:cs="Lucida Grande"/>
      <w:sz w:val="18"/>
      <w:szCs w:val="18"/>
    </w:rPr>
  </w:style>
  <w:style w:type="paragraph" w:styleId="NormalWeb">
    <w:name w:val="Normal (Web)"/>
    <w:basedOn w:val="Normal"/>
    <w:uiPriority w:val="99"/>
    <w:semiHidden/>
    <w:unhideWhenUsed/>
    <w:rsid w:val="0036044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3604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8785">
      <w:bodyDiv w:val="1"/>
      <w:marLeft w:val="0"/>
      <w:marRight w:val="0"/>
      <w:marTop w:val="0"/>
      <w:marBottom w:val="0"/>
      <w:divBdr>
        <w:top w:val="none" w:sz="0" w:space="0" w:color="auto"/>
        <w:left w:val="none" w:sz="0" w:space="0" w:color="auto"/>
        <w:bottom w:val="none" w:sz="0" w:space="0" w:color="auto"/>
        <w:right w:val="none" w:sz="0" w:space="0" w:color="auto"/>
      </w:divBdr>
    </w:div>
    <w:div w:id="563102313">
      <w:bodyDiv w:val="1"/>
      <w:marLeft w:val="0"/>
      <w:marRight w:val="0"/>
      <w:marTop w:val="0"/>
      <w:marBottom w:val="0"/>
      <w:divBdr>
        <w:top w:val="none" w:sz="0" w:space="0" w:color="auto"/>
        <w:left w:val="none" w:sz="0" w:space="0" w:color="auto"/>
        <w:bottom w:val="none" w:sz="0" w:space="0" w:color="auto"/>
        <w:right w:val="none" w:sz="0" w:space="0" w:color="auto"/>
      </w:divBdr>
      <w:divsChild>
        <w:div w:id="767239083">
          <w:marLeft w:val="547"/>
          <w:marRight w:val="0"/>
          <w:marTop w:val="134"/>
          <w:marBottom w:val="0"/>
          <w:divBdr>
            <w:top w:val="none" w:sz="0" w:space="0" w:color="auto"/>
            <w:left w:val="none" w:sz="0" w:space="0" w:color="auto"/>
            <w:bottom w:val="none" w:sz="0" w:space="0" w:color="auto"/>
            <w:right w:val="none" w:sz="0" w:space="0" w:color="auto"/>
          </w:divBdr>
        </w:div>
        <w:div w:id="718475814">
          <w:marLeft w:val="547"/>
          <w:marRight w:val="0"/>
          <w:marTop w:val="101"/>
          <w:marBottom w:val="0"/>
          <w:divBdr>
            <w:top w:val="none" w:sz="0" w:space="0" w:color="auto"/>
            <w:left w:val="none" w:sz="0" w:space="0" w:color="auto"/>
            <w:bottom w:val="none" w:sz="0" w:space="0" w:color="auto"/>
            <w:right w:val="none" w:sz="0" w:space="0" w:color="auto"/>
          </w:divBdr>
        </w:div>
        <w:div w:id="554656832">
          <w:marLeft w:val="547"/>
          <w:marRight w:val="0"/>
          <w:marTop w:val="192"/>
          <w:marBottom w:val="0"/>
          <w:divBdr>
            <w:top w:val="none" w:sz="0" w:space="0" w:color="auto"/>
            <w:left w:val="none" w:sz="0" w:space="0" w:color="auto"/>
            <w:bottom w:val="none" w:sz="0" w:space="0" w:color="auto"/>
            <w:right w:val="none" w:sz="0" w:space="0" w:color="auto"/>
          </w:divBdr>
        </w:div>
        <w:div w:id="2070224205">
          <w:marLeft w:val="547"/>
          <w:marRight w:val="0"/>
          <w:marTop w:val="192"/>
          <w:marBottom w:val="0"/>
          <w:divBdr>
            <w:top w:val="none" w:sz="0" w:space="0" w:color="auto"/>
            <w:left w:val="none" w:sz="0" w:space="0" w:color="auto"/>
            <w:bottom w:val="none" w:sz="0" w:space="0" w:color="auto"/>
            <w:right w:val="none" w:sz="0" w:space="0" w:color="auto"/>
          </w:divBdr>
        </w:div>
        <w:div w:id="1287421596">
          <w:marLeft w:val="547"/>
          <w:marRight w:val="0"/>
          <w:marTop w:val="192"/>
          <w:marBottom w:val="0"/>
          <w:divBdr>
            <w:top w:val="none" w:sz="0" w:space="0" w:color="auto"/>
            <w:left w:val="none" w:sz="0" w:space="0" w:color="auto"/>
            <w:bottom w:val="none" w:sz="0" w:space="0" w:color="auto"/>
            <w:right w:val="none" w:sz="0" w:space="0" w:color="auto"/>
          </w:divBdr>
        </w:div>
        <w:div w:id="1945570996">
          <w:marLeft w:val="547"/>
          <w:marRight w:val="0"/>
          <w:marTop w:val="192"/>
          <w:marBottom w:val="0"/>
          <w:divBdr>
            <w:top w:val="none" w:sz="0" w:space="0" w:color="auto"/>
            <w:left w:val="none" w:sz="0" w:space="0" w:color="auto"/>
            <w:bottom w:val="none" w:sz="0" w:space="0" w:color="auto"/>
            <w:right w:val="none" w:sz="0" w:space="0" w:color="auto"/>
          </w:divBdr>
        </w:div>
        <w:div w:id="423308927">
          <w:marLeft w:val="547"/>
          <w:marRight w:val="0"/>
          <w:marTop w:val="192"/>
          <w:marBottom w:val="0"/>
          <w:divBdr>
            <w:top w:val="none" w:sz="0" w:space="0" w:color="auto"/>
            <w:left w:val="none" w:sz="0" w:space="0" w:color="auto"/>
            <w:bottom w:val="none" w:sz="0" w:space="0" w:color="auto"/>
            <w:right w:val="none" w:sz="0" w:space="0" w:color="auto"/>
          </w:divBdr>
        </w:div>
        <w:div w:id="873344480">
          <w:marLeft w:val="547"/>
          <w:marRight w:val="0"/>
          <w:marTop w:val="115"/>
          <w:marBottom w:val="0"/>
          <w:divBdr>
            <w:top w:val="none" w:sz="0" w:space="0" w:color="auto"/>
            <w:left w:val="none" w:sz="0" w:space="0" w:color="auto"/>
            <w:bottom w:val="none" w:sz="0" w:space="0" w:color="auto"/>
            <w:right w:val="none" w:sz="0" w:space="0" w:color="auto"/>
          </w:divBdr>
        </w:div>
        <w:div w:id="387387544">
          <w:marLeft w:val="547"/>
          <w:marRight w:val="0"/>
          <w:marTop w:val="115"/>
          <w:marBottom w:val="0"/>
          <w:divBdr>
            <w:top w:val="none" w:sz="0" w:space="0" w:color="auto"/>
            <w:left w:val="none" w:sz="0" w:space="0" w:color="auto"/>
            <w:bottom w:val="none" w:sz="0" w:space="0" w:color="auto"/>
            <w:right w:val="none" w:sz="0" w:space="0" w:color="auto"/>
          </w:divBdr>
        </w:div>
      </w:divsChild>
    </w:div>
    <w:div w:id="1360201027">
      <w:bodyDiv w:val="1"/>
      <w:marLeft w:val="0"/>
      <w:marRight w:val="0"/>
      <w:marTop w:val="0"/>
      <w:marBottom w:val="0"/>
      <w:divBdr>
        <w:top w:val="none" w:sz="0" w:space="0" w:color="auto"/>
        <w:left w:val="none" w:sz="0" w:space="0" w:color="auto"/>
        <w:bottom w:val="none" w:sz="0" w:space="0" w:color="auto"/>
        <w:right w:val="none" w:sz="0" w:space="0" w:color="auto"/>
      </w:divBdr>
    </w:div>
    <w:div w:id="1530532286">
      <w:bodyDiv w:val="1"/>
      <w:marLeft w:val="0"/>
      <w:marRight w:val="0"/>
      <w:marTop w:val="0"/>
      <w:marBottom w:val="0"/>
      <w:divBdr>
        <w:top w:val="none" w:sz="0" w:space="0" w:color="auto"/>
        <w:left w:val="none" w:sz="0" w:space="0" w:color="auto"/>
        <w:bottom w:val="none" w:sz="0" w:space="0" w:color="auto"/>
        <w:right w:val="none" w:sz="0" w:space="0" w:color="auto"/>
      </w:divBdr>
    </w:div>
    <w:div w:id="1639995013">
      <w:bodyDiv w:val="1"/>
      <w:marLeft w:val="0"/>
      <w:marRight w:val="0"/>
      <w:marTop w:val="0"/>
      <w:marBottom w:val="0"/>
      <w:divBdr>
        <w:top w:val="none" w:sz="0" w:space="0" w:color="auto"/>
        <w:left w:val="none" w:sz="0" w:space="0" w:color="auto"/>
        <w:bottom w:val="none" w:sz="0" w:space="0" w:color="auto"/>
        <w:right w:val="none" w:sz="0" w:space="0" w:color="auto"/>
      </w:divBdr>
    </w:div>
    <w:div w:id="1694769631">
      <w:bodyDiv w:val="1"/>
      <w:marLeft w:val="0"/>
      <w:marRight w:val="0"/>
      <w:marTop w:val="0"/>
      <w:marBottom w:val="0"/>
      <w:divBdr>
        <w:top w:val="none" w:sz="0" w:space="0" w:color="auto"/>
        <w:left w:val="none" w:sz="0" w:space="0" w:color="auto"/>
        <w:bottom w:val="none" w:sz="0" w:space="0" w:color="auto"/>
        <w:right w:val="none" w:sz="0" w:space="0" w:color="auto"/>
      </w:divBdr>
    </w:div>
    <w:div w:id="1768453730">
      <w:bodyDiv w:val="1"/>
      <w:marLeft w:val="0"/>
      <w:marRight w:val="0"/>
      <w:marTop w:val="0"/>
      <w:marBottom w:val="0"/>
      <w:divBdr>
        <w:top w:val="none" w:sz="0" w:space="0" w:color="auto"/>
        <w:left w:val="none" w:sz="0" w:space="0" w:color="auto"/>
        <w:bottom w:val="none" w:sz="0" w:space="0" w:color="auto"/>
        <w:right w:val="none" w:sz="0" w:space="0" w:color="auto"/>
      </w:divBdr>
    </w:div>
    <w:div w:id="1908413277">
      <w:bodyDiv w:val="1"/>
      <w:marLeft w:val="0"/>
      <w:marRight w:val="0"/>
      <w:marTop w:val="0"/>
      <w:marBottom w:val="0"/>
      <w:divBdr>
        <w:top w:val="none" w:sz="0" w:space="0" w:color="auto"/>
        <w:left w:val="none" w:sz="0" w:space="0" w:color="auto"/>
        <w:bottom w:val="none" w:sz="0" w:space="0" w:color="auto"/>
        <w:right w:val="none" w:sz="0" w:space="0" w:color="auto"/>
      </w:divBdr>
    </w:div>
    <w:div w:id="2118480939">
      <w:bodyDiv w:val="1"/>
      <w:marLeft w:val="0"/>
      <w:marRight w:val="0"/>
      <w:marTop w:val="0"/>
      <w:marBottom w:val="0"/>
      <w:divBdr>
        <w:top w:val="none" w:sz="0" w:space="0" w:color="auto"/>
        <w:left w:val="none" w:sz="0" w:space="0" w:color="auto"/>
        <w:bottom w:val="none" w:sz="0" w:space="0" w:color="auto"/>
        <w:right w:val="none" w:sz="0" w:space="0" w:color="auto"/>
      </w:divBdr>
      <w:divsChild>
        <w:div w:id="1354185839">
          <w:marLeft w:val="446"/>
          <w:marRight w:val="0"/>
          <w:marTop w:val="0"/>
          <w:marBottom w:val="0"/>
          <w:divBdr>
            <w:top w:val="none" w:sz="0" w:space="0" w:color="auto"/>
            <w:left w:val="none" w:sz="0" w:space="0" w:color="auto"/>
            <w:bottom w:val="none" w:sz="0" w:space="0" w:color="auto"/>
            <w:right w:val="none" w:sz="0" w:space="0" w:color="auto"/>
          </w:divBdr>
        </w:div>
        <w:div w:id="1191724401">
          <w:marLeft w:val="446"/>
          <w:marRight w:val="0"/>
          <w:marTop w:val="0"/>
          <w:marBottom w:val="0"/>
          <w:divBdr>
            <w:top w:val="none" w:sz="0" w:space="0" w:color="auto"/>
            <w:left w:val="none" w:sz="0" w:space="0" w:color="auto"/>
            <w:bottom w:val="none" w:sz="0" w:space="0" w:color="auto"/>
            <w:right w:val="none" w:sz="0" w:space="0" w:color="auto"/>
          </w:divBdr>
        </w:div>
        <w:div w:id="28191260">
          <w:marLeft w:val="446"/>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929</Words>
  <Characters>5297</Characters>
  <Application>Microsoft Macintosh Word</Application>
  <DocSecurity>0</DocSecurity>
  <Lines>44</Lines>
  <Paragraphs>12</Paragraphs>
  <ScaleCrop>false</ScaleCrop>
  <Company/>
  <LinksUpToDate>false</LinksUpToDate>
  <CharactersWithSpaces>6214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Williams</dc:creator>
  <cp:keywords/>
  <dc:description/>
  <cp:lastModifiedBy>Ann Williams</cp:lastModifiedBy>
  <cp:revision>1</cp:revision>
  <dcterms:created xsi:type="dcterms:W3CDTF">2014-08-15T19:35:00Z</dcterms:created>
  <dcterms:modified xsi:type="dcterms:W3CDTF">2014-08-15T20:09:00Z</dcterms:modified>
</cp:coreProperties>
</file>